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3E42" w14:textId="2709ABD5" w:rsidR="008502EF" w:rsidRPr="005E3C07" w:rsidRDefault="008502EF" w:rsidP="008502EF">
      <w:pPr>
        <w:jc w:val="center"/>
        <w:rPr>
          <w:rFonts w:asciiTheme="majorHAnsi" w:hAnsiTheme="majorHAnsi" w:cstheme="majorHAnsi"/>
          <w:b/>
          <w:bCs/>
          <w:sz w:val="28"/>
          <w:szCs w:val="28"/>
        </w:rPr>
      </w:pPr>
      <w:bookmarkStart w:id="0" w:name="_GoBack"/>
      <w:bookmarkEnd w:id="0"/>
      <w:r w:rsidRPr="005E3C07">
        <w:rPr>
          <w:rFonts w:asciiTheme="majorHAnsi" w:hAnsiTheme="majorHAnsi" w:cstheme="majorHAnsi"/>
          <w:b/>
          <w:bCs/>
          <w:sz w:val="28"/>
          <w:szCs w:val="28"/>
        </w:rPr>
        <w:t xml:space="preserve">WESSA Algoa Bay Branch </w:t>
      </w:r>
      <w:r w:rsidR="000D5211" w:rsidRPr="005E3C07">
        <w:rPr>
          <w:rFonts w:asciiTheme="majorHAnsi" w:hAnsiTheme="majorHAnsi" w:cstheme="majorHAnsi"/>
          <w:b/>
          <w:bCs/>
          <w:sz w:val="28"/>
          <w:szCs w:val="28"/>
        </w:rPr>
        <w:t>Ap</w:t>
      </w:r>
      <w:r w:rsidRPr="005E3C07">
        <w:rPr>
          <w:rFonts w:asciiTheme="majorHAnsi" w:hAnsiTheme="majorHAnsi" w:cstheme="majorHAnsi"/>
          <w:b/>
          <w:bCs/>
          <w:sz w:val="28"/>
          <w:szCs w:val="28"/>
        </w:rPr>
        <w:t xml:space="preserve">peal </w:t>
      </w:r>
      <w:r w:rsidR="000D5211" w:rsidRPr="005E3C07">
        <w:rPr>
          <w:rFonts w:asciiTheme="majorHAnsi" w:hAnsiTheme="majorHAnsi" w:cstheme="majorHAnsi"/>
          <w:b/>
          <w:bCs/>
          <w:sz w:val="28"/>
          <w:szCs w:val="28"/>
        </w:rPr>
        <w:t>G</w:t>
      </w:r>
      <w:r w:rsidRPr="005E3C07">
        <w:rPr>
          <w:rFonts w:asciiTheme="majorHAnsi" w:hAnsiTheme="majorHAnsi" w:cstheme="majorHAnsi"/>
          <w:b/>
          <w:bCs/>
          <w:sz w:val="28"/>
          <w:szCs w:val="28"/>
        </w:rPr>
        <w:t>uide:</w:t>
      </w:r>
    </w:p>
    <w:p w14:paraId="4D0B2758" w14:textId="77777777" w:rsidR="008502EF" w:rsidRPr="005E3C07" w:rsidRDefault="008502EF" w:rsidP="008502EF">
      <w:pPr>
        <w:jc w:val="center"/>
        <w:rPr>
          <w:rFonts w:asciiTheme="majorHAnsi" w:hAnsiTheme="majorHAnsi" w:cstheme="majorHAnsi"/>
          <w:b/>
          <w:bCs/>
        </w:rPr>
      </w:pPr>
      <w:r w:rsidRPr="005E3C07">
        <w:rPr>
          <w:rFonts w:asciiTheme="majorHAnsi" w:hAnsiTheme="majorHAnsi" w:cstheme="majorHAnsi"/>
          <w:b/>
          <w:bCs/>
        </w:rPr>
        <w:t>Appealing the decision to give environmental authorization to the Algoa Bay Aquaculture Development Zone</w:t>
      </w:r>
    </w:p>
    <w:p w14:paraId="3FF12BBE" w14:textId="77777777" w:rsidR="008502EF" w:rsidRPr="005E3C07" w:rsidRDefault="008502EF" w:rsidP="008502EF">
      <w:pPr>
        <w:rPr>
          <w:rFonts w:asciiTheme="majorHAnsi" w:hAnsiTheme="majorHAnsi" w:cstheme="majorHAnsi"/>
        </w:rPr>
      </w:pPr>
    </w:p>
    <w:p w14:paraId="2227EA86" w14:textId="5243D3BA" w:rsidR="008502EF" w:rsidRPr="005E3C07" w:rsidRDefault="008502EF" w:rsidP="008502EF">
      <w:pPr>
        <w:rPr>
          <w:rFonts w:asciiTheme="majorHAnsi" w:hAnsiTheme="majorHAnsi" w:cstheme="majorHAnsi"/>
          <w:i/>
          <w:iCs/>
        </w:rPr>
      </w:pPr>
      <w:r w:rsidRPr="005E3C07">
        <w:rPr>
          <w:rFonts w:asciiTheme="majorHAnsi" w:hAnsiTheme="majorHAnsi" w:cstheme="majorHAnsi"/>
          <w:i/>
          <w:iCs/>
        </w:rPr>
        <w:t xml:space="preserve">Please note that this is a guide based on our correspondence with DEFF and the EAP and our </w:t>
      </w:r>
      <w:r w:rsidRPr="005E3C07">
        <w:rPr>
          <w:rFonts w:asciiTheme="majorHAnsi" w:hAnsiTheme="majorHAnsi" w:cstheme="majorHAnsi"/>
          <w:i/>
          <w:iCs/>
          <w:u w:val="single"/>
        </w:rPr>
        <w:t>own</w:t>
      </w:r>
      <w:r w:rsidRPr="005E3C07">
        <w:rPr>
          <w:rFonts w:asciiTheme="majorHAnsi" w:hAnsiTheme="majorHAnsi" w:cstheme="majorHAnsi"/>
          <w:i/>
          <w:iCs/>
        </w:rPr>
        <w:t xml:space="preserve"> interpretation of what is required. Any input is the </w:t>
      </w:r>
      <w:r w:rsidRPr="005E3C07">
        <w:rPr>
          <w:rFonts w:asciiTheme="majorHAnsi" w:hAnsiTheme="majorHAnsi" w:cstheme="majorHAnsi"/>
          <w:i/>
          <w:iCs/>
          <w:u w:val="single"/>
        </w:rPr>
        <w:t>sole responsibility</w:t>
      </w:r>
      <w:r w:rsidRPr="005E3C07">
        <w:rPr>
          <w:rFonts w:asciiTheme="majorHAnsi" w:hAnsiTheme="majorHAnsi" w:cstheme="majorHAnsi"/>
          <w:i/>
          <w:iCs/>
        </w:rPr>
        <w:t xml:space="preserve"> of the person/s making the input. </w:t>
      </w:r>
      <w:r w:rsidR="000D5211" w:rsidRPr="005E3C07">
        <w:rPr>
          <w:rFonts w:asciiTheme="majorHAnsi" w:hAnsiTheme="majorHAnsi" w:cstheme="majorHAnsi"/>
          <w:i/>
          <w:iCs/>
        </w:rPr>
        <w:t>T</w:t>
      </w:r>
      <w:r w:rsidRPr="005E3C07">
        <w:rPr>
          <w:rFonts w:asciiTheme="majorHAnsi" w:hAnsiTheme="majorHAnsi" w:cstheme="majorHAnsi"/>
          <w:i/>
          <w:iCs/>
        </w:rPr>
        <w:t>he below will be the basis on which we make our appeal to the authorities. AFTA (apologies for the acronyms)</w:t>
      </w:r>
    </w:p>
    <w:p w14:paraId="705CC9A1" w14:textId="77777777" w:rsidR="008502EF" w:rsidRPr="005E3C07" w:rsidRDefault="008502EF" w:rsidP="008502EF">
      <w:pPr>
        <w:rPr>
          <w:rFonts w:asciiTheme="majorHAnsi" w:hAnsiTheme="majorHAnsi" w:cstheme="majorHAnsi"/>
        </w:rPr>
      </w:pPr>
    </w:p>
    <w:p w14:paraId="32B0131C" w14:textId="77777777" w:rsidR="008502EF" w:rsidRPr="005E3C07" w:rsidRDefault="008502EF" w:rsidP="008502EF">
      <w:pPr>
        <w:pStyle w:val="ListParagraph"/>
        <w:numPr>
          <w:ilvl w:val="0"/>
          <w:numId w:val="12"/>
        </w:numPr>
        <w:spacing w:after="0" w:line="240" w:lineRule="auto"/>
        <w:rPr>
          <w:rFonts w:asciiTheme="majorHAnsi" w:hAnsiTheme="majorHAnsi" w:cstheme="majorHAnsi"/>
          <w:lang w:val="en-US"/>
        </w:rPr>
      </w:pPr>
      <w:r w:rsidRPr="005E3C07">
        <w:rPr>
          <w:rFonts w:asciiTheme="majorHAnsi" w:hAnsiTheme="majorHAnsi" w:cstheme="majorHAnsi"/>
          <w:lang w:val="en-US"/>
        </w:rPr>
        <w:t>Go through these questions in putting your appeal together:</w:t>
      </w:r>
    </w:p>
    <w:p w14:paraId="27D9E91F" w14:textId="2B08976D" w:rsidR="008502EF" w:rsidRPr="005E3C07" w:rsidRDefault="008502EF" w:rsidP="008502EF">
      <w:pPr>
        <w:pStyle w:val="ListParagraph"/>
        <w:numPr>
          <w:ilvl w:val="1"/>
          <w:numId w:val="12"/>
        </w:numPr>
        <w:spacing w:after="0" w:line="240" w:lineRule="auto"/>
        <w:rPr>
          <w:rFonts w:asciiTheme="majorHAnsi" w:hAnsiTheme="majorHAnsi" w:cstheme="majorHAnsi"/>
          <w:lang w:val="en-US"/>
        </w:rPr>
      </w:pPr>
      <w:r w:rsidRPr="005E3C07">
        <w:rPr>
          <w:rFonts w:asciiTheme="majorHAnsi" w:hAnsiTheme="majorHAnsi" w:cstheme="majorHAnsi"/>
          <w:b/>
          <w:bCs/>
          <w:lang w:val="en-US"/>
        </w:rPr>
        <w:t>Are you a registered Interested and Affected Party (I&amp;AP)?</w:t>
      </w:r>
      <w:r w:rsidRPr="005E3C07">
        <w:rPr>
          <w:rFonts w:asciiTheme="majorHAnsi" w:hAnsiTheme="majorHAnsi" w:cstheme="majorHAnsi"/>
          <w:lang w:val="en-US"/>
        </w:rPr>
        <w:t xml:space="preserve"> </w:t>
      </w:r>
      <w:r w:rsidRPr="005E3C07">
        <w:rPr>
          <w:rFonts w:asciiTheme="majorHAnsi" w:hAnsiTheme="majorHAnsi" w:cstheme="majorHAnsi"/>
          <w:i/>
          <w:iCs/>
          <w:lang w:val="en-US"/>
        </w:rPr>
        <w:t xml:space="preserve">If </w:t>
      </w:r>
      <w:r w:rsidRPr="005E3C07">
        <w:rPr>
          <w:rFonts w:asciiTheme="majorHAnsi" w:hAnsiTheme="majorHAnsi" w:cstheme="majorHAnsi"/>
          <w:b/>
          <w:bCs/>
          <w:i/>
          <w:iCs/>
          <w:lang w:val="en-US"/>
        </w:rPr>
        <w:t>YES</w:t>
      </w:r>
      <w:r w:rsidRPr="005E3C07">
        <w:rPr>
          <w:rFonts w:asciiTheme="majorHAnsi" w:hAnsiTheme="majorHAnsi" w:cstheme="majorHAnsi"/>
          <w:i/>
          <w:iCs/>
          <w:lang w:val="en-US"/>
        </w:rPr>
        <w:t xml:space="preserve">, see our guide below and </w:t>
      </w:r>
      <w:r w:rsidRPr="005E3C07">
        <w:rPr>
          <w:rFonts w:asciiTheme="majorHAnsi" w:hAnsiTheme="majorHAnsi" w:cstheme="majorHAnsi"/>
          <w:i/>
          <w:iCs/>
          <w:u w:val="single"/>
          <w:lang w:val="en-US"/>
        </w:rPr>
        <w:t>submit your appeal by the 19</w:t>
      </w:r>
      <w:r w:rsidRPr="005E3C07">
        <w:rPr>
          <w:rFonts w:asciiTheme="majorHAnsi" w:hAnsiTheme="majorHAnsi" w:cstheme="majorHAnsi"/>
          <w:i/>
          <w:iCs/>
          <w:u w:val="single"/>
          <w:vertAlign w:val="superscript"/>
          <w:lang w:val="en-US"/>
        </w:rPr>
        <w:t>th</w:t>
      </w:r>
      <w:r w:rsidRPr="005E3C07">
        <w:rPr>
          <w:rFonts w:asciiTheme="majorHAnsi" w:hAnsiTheme="majorHAnsi" w:cstheme="majorHAnsi"/>
          <w:i/>
          <w:iCs/>
          <w:u w:val="single"/>
          <w:lang w:val="en-US"/>
        </w:rPr>
        <w:t xml:space="preserve"> March</w:t>
      </w:r>
      <w:r w:rsidRPr="005E3C07">
        <w:rPr>
          <w:rFonts w:asciiTheme="majorHAnsi" w:hAnsiTheme="majorHAnsi" w:cstheme="majorHAnsi"/>
          <w:i/>
          <w:iCs/>
          <w:lang w:val="en-US"/>
        </w:rPr>
        <w:t xml:space="preserve">. If </w:t>
      </w:r>
      <w:r w:rsidRPr="005E3C07">
        <w:rPr>
          <w:rFonts w:asciiTheme="majorHAnsi" w:hAnsiTheme="majorHAnsi" w:cstheme="majorHAnsi"/>
          <w:b/>
          <w:bCs/>
          <w:i/>
          <w:iCs/>
          <w:lang w:val="en-US"/>
        </w:rPr>
        <w:t>NO</w:t>
      </w:r>
      <w:r w:rsidRPr="005E3C07">
        <w:rPr>
          <w:rFonts w:asciiTheme="majorHAnsi" w:hAnsiTheme="majorHAnsi" w:cstheme="majorHAnsi"/>
          <w:i/>
          <w:iCs/>
          <w:lang w:val="en-US"/>
        </w:rPr>
        <w:t xml:space="preserve">, there appears to be some ambiguity as to who can be an appellant in the regulations, we would encourage you to submit an appeal </w:t>
      </w:r>
      <w:r w:rsidRPr="005E3C07">
        <w:rPr>
          <w:rFonts w:asciiTheme="majorHAnsi" w:hAnsiTheme="majorHAnsi" w:cstheme="majorHAnsi"/>
          <w:i/>
          <w:iCs/>
          <w:u w:val="single"/>
          <w:lang w:val="en-US"/>
        </w:rPr>
        <w:t>AND</w:t>
      </w:r>
      <w:r w:rsidRPr="005E3C07">
        <w:rPr>
          <w:rFonts w:asciiTheme="majorHAnsi" w:hAnsiTheme="majorHAnsi" w:cstheme="majorHAnsi"/>
          <w:i/>
          <w:iCs/>
          <w:lang w:val="en-US"/>
        </w:rPr>
        <w:t xml:space="preserve"> to send your reasons to an organization that is a registered I&amp;AP before the 17</w:t>
      </w:r>
      <w:r w:rsidRPr="005E3C07">
        <w:rPr>
          <w:rFonts w:asciiTheme="majorHAnsi" w:hAnsiTheme="majorHAnsi" w:cstheme="majorHAnsi"/>
          <w:i/>
          <w:iCs/>
          <w:vertAlign w:val="superscript"/>
          <w:lang w:val="en-US"/>
        </w:rPr>
        <w:t>th</w:t>
      </w:r>
      <w:r w:rsidRPr="005E3C07">
        <w:rPr>
          <w:rFonts w:asciiTheme="majorHAnsi" w:hAnsiTheme="majorHAnsi" w:cstheme="majorHAnsi"/>
          <w:i/>
          <w:iCs/>
          <w:lang w:val="en-US"/>
        </w:rPr>
        <w:t xml:space="preserve"> so that they can incorporate your comments. You are welcome to send it to WESSA ABB </w:t>
      </w:r>
      <w:r w:rsidR="005E3C07">
        <w:rPr>
          <w:rFonts w:asciiTheme="majorHAnsi" w:hAnsiTheme="majorHAnsi" w:cstheme="majorHAnsi"/>
          <w:i/>
          <w:iCs/>
          <w:lang w:val="en-US"/>
        </w:rPr>
        <w:t>(</w:t>
      </w:r>
      <w:hyperlink r:id="rId7" w:history="1">
        <w:r w:rsidR="005E3C07" w:rsidRPr="000259D9">
          <w:rPr>
            <w:rStyle w:val="Hyperlink"/>
            <w:rFonts w:asciiTheme="majorHAnsi" w:hAnsiTheme="majorHAnsi" w:cstheme="majorHAnsi"/>
            <w:i/>
            <w:iCs/>
            <w:lang w:val="en-US"/>
          </w:rPr>
          <w:t>garyk22@me.com</w:t>
        </w:r>
      </w:hyperlink>
      <w:r w:rsidR="005E3C07">
        <w:rPr>
          <w:rFonts w:asciiTheme="majorHAnsi" w:hAnsiTheme="majorHAnsi" w:cstheme="majorHAnsi"/>
          <w:i/>
          <w:iCs/>
          <w:lang w:val="en-US"/>
        </w:rPr>
        <w:t xml:space="preserve">) </w:t>
      </w:r>
      <w:r w:rsidRPr="005E3C07">
        <w:rPr>
          <w:rFonts w:asciiTheme="majorHAnsi" w:hAnsiTheme="majorHAnsi" w:cstheme="majorHAnsi"/>
          <w:i/>
          <w:iCs/>
          <w:lang w:val="en-US"/>
        </w:rPr>
        <w:t>and we will incorporate it into our comments, but you may be a member of organization that is already a registered I&amp;AP? It’s really important that as many registered I&amp;AP’s as possible submit an appeal.</w:t>
      </w:r>
    </w:p>
    <w:p w14:paraId="6DD11CD5" w14:textId="77777777" w:rsidR="008502EF" w:rsidRPr="005E3C07" w:rsidRDefault="008502EF" w:rsidP="008502EF">
      <w:pPr>
        <w:pStyle w:val="ListParagraph"/>
        <w:numPr>
          <w:ilvl w:val="1"/>
          <w:numId w:val="12"/>
        </w:numPr>
        <w:spacing w:after="0" w:line="240" w:lineRule="auto"/>
        <w:rPr>
          <w:rFonts w:asciiTheme="majorHAnsi" w:hAnsiTheme="majorHAnsi" w:cstheme="majorHAnsi"/>
          <w:lang w:val="en-US"/>
        </w:rPr>
      </w:pPr>
      <w:r w:rsidRPr="005E3C07">
        <w:rPr>
          <w:rFonts w:asciiTheme="majorHAnsi" w:hAnsiTheme="majorHAnsi" w:cstheme="majorHAnsi"/>
          <w:b/>
          <w:bCs/>
          <w:lang w:val="en-US"/>
        </w:rPr>
        <w:t>Have you addressed your appeal to the appeals administrator and copied the decision-maker, the applicant and key I&amp;AP’s?</w:t>
      </w:r>
      <w:r w:rsidRPr="005E3C07">
        <w:rPr>
          <w:rFonts w:asciiTheme="majorHAnsi" w:hAnsiTheme="majorHAnsi" w:cstheme="majorHAnsi"/>
          <w:lang w:val="en-US"/>
        </w:rPr>
        <w:t xml:space="preserve"> </w:t>
      </w:r>
      <w:r w:rsidRPr="005E3C07">
        <w:rPr>
          <w:rFonts w:asciiTheme="majorHAnsi" w:hAnsiTheme="majorHAnsi" w:cstheme="majorHAnsi"/>
          <w:i/>
          <w:iCs/>
          <w:lang w:val="en-US"/>
        </w:rPr>
        <w:t>See below for details. You can submit the appeal via e-mail alone. But obviously sending it by mail will ensure it is received.</w:t>
      </w:r>
    </w:p>
    <w:p w14:paraId="0A4BF7AA" w14:textId="77777777" w:rsidR="008502EF" w:rsidRPr="005E3C07" w:rsidRDefault="008502EF" w:rsidP="008502EF">
      <w:pPr>
        <w:pStyle w:val="ListParagraph"/>
        <w:numPr>
          <w:ilvl w:val="1"/>
          <w:numId w:val="12"/>
        </w:numPr>
        <w:spacing w:after="0" w:line="240" w:lineRule="auto"/>
        <w:rPr>
          <w:rFonts w:asciiTheme="majorHAnsi" w:hAnsiTheme="majorHAnsi" w:cstheme="majorHAnsi"/>
          <w:lang w:val="en-US"/>
        </w:rPr>
      </w:pPr>
      <w:r w:rsidRPr="005E3C07">
        <w:rPr>
          <w:rFonts w:asciiTheme="majorHAnsi" w:hAnsiTheme="majorHAnsi" w:cstheme="majorHAnsi"/>
          <w:b/>
          <w:bCs/>
          <w:lang w:val="en-US"/>
        </w:rPr>
        <w:t>Have you cited the correct reference number?</w:t>
      </w:r>
      <w:r w:rsidRPr="005E3C07">
        <w:rPr>
          <w:rFonts w:asciiTheme="majorHAnsi" w:hAnsiTheme="majorHAnsi" w:cstheme="majorHAnsi"/>
          <w:lang w:val="en-US"/>
        </w:rPr>
        <w:t xml:space="preserve"> </w:t>
      </w:r>
      <w:r w:rsidRPr="005E3C07">
        <w:rPr>
          <w:rFonts w:asciiTheme="majorHAnsi" w:hAnsiTheme="majorHAnsi" w:cstheme="majorHAnsi"/>
          <w:i/>
          <w:iCs/>
          <w:lang w:val="en-US"/>
        </w:rPr>
        <w:t>See below for details</w:t>
      </w:r>
      <w:r w:rsidRPr="005E3C07">
        <w:rPr>
          <w:rFonts w:asciiTheme="majorHAnsi" w:hAnsiTheme="majorHAnsi" w:cstheme="majorHAnsi"/>
          <w:lang w:val="en-US"/>
        </w:rPr>
        <w:t xml:space="preserve"> </w:t>
      </w:r>
    </w:p>
    <w:p w14:paraId="1F68F7F9" w14:textId="77777777" w:rsidR="008502EF" w:rsidRPr="005E3C07" w:rsidRDefault="008502EF" w:rsidP="008502EF">
      <w:pPr>
        <w:pStyle w:val="ListParagraph"/>
        <w:numPr>
          <w:ilvl w:val="1"/>
          <w:numId w:val="12"/>
        </w:numPr>
        <w:spacing w:after="0" w:line="240" w:lineRule="auto"/>
        <w:rPr>
          <w:rFonts w:asciiTheme="majorHAnsi" w:hAnsiTheme="majorHAnsi" w:cstheme="majorHAnsi"/>
          <w:lang w:val="en-US"/>
        </w:rPr>
      </w:pPr>
      <w:r w:rsidRPr="005E3C07">
        <w:rPr>
          <w:rFonts w:asciiTheme="majorHAnsi" w:hAnsiTheme="majorHAnsi" w:cstheme="majorHAnsi"/>
          <w:b/>
          <w:bCs/>
          <w:lang w:val="en-US"/>
        </w:rPr>
        <w:t>Have you completed the TWO forms and included the statement?</w:t>
      </w:r>
      <w:r w:rsidRPr="005E3C07">
        <w:rPr>
          <w:rFonts w:asciiTheme="majorHAnsi" w:hAnsiTheme="majorHAnsi" w:cstheme="majorHAnsi"/>
          <w:lang w:val="en-US"/>
        </w:rPr>
        <w:t xml:space="preserve"> </w:t>
      </w:r>
      <w:r w:rsidRPr="005E3C07">
        <w:rPr>
          <w:rFonts w:asciiTheme="majorHAnsi" w:hAnsiTheme="majorHAnsi" w:cstheme="majorHAnsi"/>
          <w:i/>
          <w:iCs/>
          <w:lang w:val="en-US"/>
        </w:rPr>
        <w:t>Please check below for details. It is very onerous, but please make sure to do so, so that your appeal can’t be rejected on technical grounds.</w:t>
      </w:r>
    </w:p>
    <w:p w14:paraId="18FDBC50" w14:textId="77777777" w:rsidR="008502EF" w:rsidRPr="005E3C07" w:rsidRDefault="008502EF" w:rsidP="008502EF">
      <w:pPr>
        <w:pStyle w:val="ListParagraph"/>
        <w:numPr>
          <w:ilvl w:val="1"/>
          <w:numId w:val="12"/>
        </w:numPr>
        <w:spacing w:after="0" w:line="240" w:lineRule="auto"/>
        <w:rPr>
          <w:rFonts w:asciiTheme="majorHAnsi" w:hAnsiTheme="majorHAnsi" w:cstheme="majorHAnsi"/>
          <w:lang w:val="en-US"/>
        </w:rPr>
      </w:pPr>
      <w:r w:rsidRPr="005E3C07">
        <w:rPr>
          <w:rFonts w:asciiTheme="majorHAnsi" w:hAnsiTheme="majorHAnsi" w:cstheme="majorHAnsi"/>
          <w:b/>
          <w:bCs/>
          <w:lang w:val="en-US"/>
        </w:rPr>
        <w:t>Does your appeal raise new/missed/incorrectly considered details that the EAP or decision-maker didn’t apply their minds to?</w:t>
      </w:r>
      <w:r w:rsidRPr="005E3C07">
        <w:rPr>
          <w:rFonts w:asciiTheme="majorHAnsi" w:hAnsiTheme="majorHAnsi" w:cstheme="majorHAnsi"/>
          <w:lang w:val="en-US"/>
        </w:rPr>
        <w:t xml:space="preserve"> </w:t>
      </w:r>
      <w:r w:rsidRPr="005E3C07">
        <w:rPr>
          <w:rFonts w:asciiTheme="majorHAnsi" w:hAnsiTheme="majorHAnsi" w:cstheme="majorHAnsi"/>
          <w:i/>
          <w:iCs/>
          <w:lang w:val="en-US"/>
        </w:rPr>
        <w:t xml:space="preserve">Simple statements of being opposed to ADZ won’t be considered. You must show good reason for the decision to be reconsidered. Read through the EA record of decision and build your argument in response.  </w:t>
      </w:r>
    </w:p>
    <w:p w14:paraId="592E0D05" w14:textId="77777777" w:rsidR="008502EF" w:rsidRPr="005E3C07" w:rsidRDefault="008502EF" w:rsidP="008502EF">
      <w:pPr>
        <w:rPr>
          <w:rFonts w:asciiTheme="majorHAnsi" w:hAnsiTheme="majorHAnsi" w:cstheme="majorHAnsi"/>
        </w:rPr>
      </w:pPr>
      <w:r w:rsidRPr="005E3C07">
        <w:rPr>
          <w:rFonts w:asciiTheme="majorHAnsi" w:hAnsiTheme="majorHAnsi" w:cstheme="majorHAnsi"/>
        </w:rPr>
        <w:t xml:space="preserve"> </w:t>
      </w:r>
    </w:p>
    <w:p w14:paraId="56B66F5A" w14:textId="77777777" w:rsidR="008502EF" w:rsidRPr="005E3C07" w:rsidRDefault="008502EF" w:rsidP="008502EF">
      <w:pPr>
        <w:rPr>
          <w:rFonts w:asciiTheme="majorHAnsi" w:hAnsiTheme="majorHAnsi" w:cstheme="majorHAnsi"/>
        </w:rPr>
      </w:pPr>
      <w:r w:rsidRPr="005E3C07">
        <w:rPr>
          <w:rFonts w:asciiTheme="majorHAnsi" w:hAnsiTheme="majorHAnsi" w:cstheme="majorHAnsi"/>
          <w:b/>
          <w:bCs/>
        </w:rPr>
        <w:t>In brief:</w:t>
      </w:r>
      <w:r w:rsidRPr="005E3C07">
        <w:rPr>
          <w:rFonts w:asciiTheme="majorHAnsi" w:hAnsiTheme="majorHAnsi" w:cstheme="majorHAnsi"/>
        </w:rPr>
        <w:t xml:space="preserve"> The idea of the appeal is to point out/raise with the appeal administrator (and decision-maker), </w:t>
      </w:r>
      <w:r w:rsidRPr="005E3C07">
        <w:rPr>
          <w:rFonts w:asciiTheme="majorHAnsi" w:hAnsiTheme="majorHAnsi" w:cstheme="majorHAnsi"/>
          <w:b/>
          <w:bCs/>
          <w:i/>
          <w:iCs/>
        </w:rPr>
        <w:t>issues or aspects you believe the EAP</w:t>
      </w:r>
      <w:r w:rsidRPr="005E3C07">
        <w:rPr>
          <w:rFonts w:asciiTheme="majorHAnsi" w:hAnsiTheme="majorHAnsi" w:cstheme="majorHAnsi"/>
        </w:rPr>
        <w:t xml:space="preserve">. (Environmental Assessment Practitioner) who compiled the BAR (basic assessment report) </w:t>
      </w:r>
      <w:r w:rsidRPr="005E3C07">
        <w:rPr>
          <w:rFonts w:asciiTheme="majorHAnsi" w:hAnsiTheme="majorHAnsi" w:cstheme="majorHAnsi"/>
          <w:b/>
          <w:bCs/>
          <w:i/>
          <w:iCs/>
        </w:rPr>
        <w:t>has missed or not considered properly when they presented the evidence to the decision-maker;</w:t>
      </w:r>
      <w:r w:rsidRPr="005E3C07">
        <w:rPr>
          <w:rFonts w:asciiTheme="majorHAnsi" w:hAnsiTheme="majorHAnsi" w:cstheme="majorHAnsi"/>
        </w:rPr>
        <w:t xml:space="preserve"> and/or issues/aspects the decision-maker, DEFF (Dept of Environment, Forestry and Fisheries), failed to consider or added in when coming to a positive decision. It’s important to help DEFF understand who you are, and the relevance of your input to this specific EA appeal – why should listen to you? </w:t>
      </w:r>
    </w:p>
    <w:p w14:paraId="2FDAB72C" w14:textId="77777777" w:rsidR="008502EF" w:rsidRPr="005E3C07" w:rsidRDefault="008502EF" w:rsidP="008502EF">
      <w:pPr>
        <w:rPr>
          <w:rFonts w:asciiTheme="majorHAnsi" w:hAnsiTheme="majorHAnsi" w:cstheme="majorHAnsi"/>
        </w:rPr>
      </w:pPr>
    </w:p>
    <w:p w14:paraId="74B1E6E7" w14:textId="77777777" w:rsidR="008502EF" w:rsidRPr="005E3C07" w:rsidRDefault="008502EF" w:rsidP="008502EF">
      <w:pPr>
        <w:pStyle w:val="ListParagraph"/>
        <w:numPr>
          <w:ilvl w:val="0"/>
          <w:numId w:val="9"/>
        </w:numPr>
        <w:spacing w:after="0" w:line="240" w:lineRule="auto"/>
        <w:rPr>
          <w:rFonts w:asciiTheme="majorHAnsi" w:hAnsiTheme="majorHAnsi" w:cstheme="majorHAnsi"/>
          <w:b/>
          <w:bCs/>
          <w:lang w:val="en-US"/>
        </w:rPr>
      </w:pPr>
      <w:r w:rsidRPr="005E3C07">
        <w:rPr>
          <w:rFonts w:asciiTheme="majorHAnsi" w:hAnsiTheme="majorHAnsi" w:cstheme="majorHAnsi"/>
          <w:b/>
          <w:bCs/>
          <w:lang w:val="en-US"/>
        </w:rPr>
        <w:t>Your appeal must include the following:</w:t>
      </w:r>
    </w:p>
    <w:p w14:paraId="67F4168A" w14:textId="77777777" w:rsidR="008502EF" w:rsidRPr="005E3C07" w:rsidRDefault="008502EF" w:rsidP="008502EF">
      <w:pPr>
        <w:rPr>
          <w:rFonts w:asciiTheme="majorHAnsi" w:hAnsiTheme="majorHAnsi" w:cstheme="majorHAnsi"/>
        </w:rPr>
      </w:pPr>
    </w:p>
    <w:p w14:paraId="1A119842" w14:textId="77777777" w:rsidR="008502EF" w:rsidRPr="005E3C07" w:rsidRDefault="008502EF" w:rsidP="008502EF">
      <w:pPr>
        <w:pStyle w:val="ListParagraph"/>
        <w:numPr>
          <w:ilvl w:val="0"/>
          <w:numId w:val="10"/>
        </w:numPr>
        <w:spacing w:after="0" w:line="240" w:lineRule="auto"/>
        <w:ind w:left="1080"/>
        <w:rPr>
          <w:rFonts w:asciiTheme="majorHAnsi" w:hAnsiTheme="majorHAnsi" w:cstheme="majorHAnsi"/>
          <w:lang w:val="en-US"/>
        </w:rPr>
      </w:pPr>
      <w:r w:rsidRPr="005E3C07">
        <w:rPr>
          <w:rFonts w:asciiTheme="majorHAnsi" w:hAnsiTheme="majorHAnsi" w:cstheme="majorHAnsi"/>
          <w:i/>
          <w:iCs/>
          <w:lang w:val="en-US"/>
        </w:rPr>
        <w:t>Address it to</w:t>
      </w:r>
      <w:r w:rsidRPr="005E3C07">
        <w:rPr>
          <w:rFonts w:asciiTheme="majorHAnsi" w:hAnsiTheme="majorHAnsi" w:cstheme="majorHAnsi"/>
          <w:lang w:val="en-US"/>
        </w:rPr>
        <w:t>:</w:t>
      </w:r>
    </w:p>
    <w:p w14:paraId="300AD393" w14:textId="77777777" w:rsidR="008502EF" w:rsidRPr="005E3C07" w:rsidRDefault="008502EF" w:rsidP="008502EF">
      <w:pPr>
        <w:ind w:left="1080"/>
        <w:rPr>
          <w:rFonts w:asciiTheme="majorHAnsi" w:hAnsiTheme="majorHAnsi" w:cstheme="majorHAnsi"/>
          <w:b/>
          <w:bCs/>
        </w:rPr>
      </w:pPr>
      <w:r w:rsidRPr="005E3C07">
        <w:rPr>
          <w:rFonts w:asciiTheme="majorHAnsi" w:hAnsiTheme="majorHAnsi" w:cstheme="majorHAnsi"/>
          <w:b/>
          <w:bCs/>
        </w:rPr>
        <w:t>The Director: Appeals and Legal Review</w:t>
      </w:r>
    </w:p>
    <w:p w14:paraId="2A637FB4" w14:textId="77777777" w:rsidR="008502EF" w:rsidRPr="005E3C07" w:rsidRDefault="008502EF" w:rsidP="008502EF">
      <w:pPr>
        <w:ind w:left="1080"/>
        <w:rPr>
          <w:rFonts w:asciiTheme="majorHAnsi" w:hAnsiTheme="majorHAnsi" w:cstheme="majorHAnsi"/>
        </w:rPr>
      </w:pPr>
      <w:r w:rsidRPr="005E3C07">
        <w:rPr>
          <w:rFonts w:asciiTheme="majorHAnsi" w:hAnsiTheme="majorHAnsi" w:cstheme="majorHAnsi"/>
          <w:i/>
          <w:iCs/>
        </w:rPr>
        <w:t>By e-mail</w:t>
      </w:r>
      <w:r w:rsidRPr="005E3C07">
        <w:rPr>
          <w:rFonts w:asciiTheme="majorHAnsi" w:hAnsiTheme="majorHAnsi" w:cstheme="majorHAnsi"/>
        </w:rPr>
        <w:t xml:space="preserve">: </w:t>
      </w:r>
      <w:hyperlink r:id="rId8" w:history="1">
        <w:r w:rsidRPr="005E3C07">
          <w:rPr>
            <w:rStyle w:val="Hyperlink"/>
            <w:rFonts w:asciiTheme="majorHAnsi" w:hAnsiTheme="majorHAnsi" w:cstheme="majorHAnsi"/>
          </w:rPr>
          <w:t>appeals@environment.gov.za</w:t>
        </w:r>
      </w:hyperlink>
      <w:r w:rsidRPr="005E3C07">
        <w:rPr>
          <w:rFonts w:asciiTheme="majorHAnsi" w:hAnsiTheme="majorHAnsi" w:cstheme="majorHAnsi"/>
        </w:rPr>
        <w:t xml:space="preserve"> </w:t>
      </w:r>
    </w:p>
    <w:p w14:paraId="4626D2F0" w14:textId="77777777" w:rsidR="008502EF" w:rsidRPr="005E3C07" w:rsidRDefault="008502EF" w:rsidP="008502EF">
      <w:pPr>
        <w:ind w:left="1080"/>
        <w:rPr>
          <w:rFonts w:asciiTheme="majorHAnsi" w:hAnsiTheme="majorHAnsi" w:cstheme="majorHAnsi"/>
        </w:rPr>
      </w:pPr>
      <w:r w:rsidRPr="005E3C07">
        <w:rPr>
          <w:rFonts w:asciiTheme="majorHAnsi" w:hAnsiTheme="majorHAnsi" w:cstheme="majorHAnsi"/>
          <w:i/>
          <w:iCs/>
        </w:rPr>
        <w:t>By post</w:t>
      </w:r>
      <w:r w:rsidRPr="005E3C07">
        <w:rPr>
          <w:rFonts w:asciiTheme="majorHAnsi" w:hAnsiTheme="majorHAnsi" w:cstheme="majorHAnsi"/>
        </w:rPr>
        <w:t>: Private Bag X447, Pretoria, 0001</w:t>
      </w:r>
    </w:p>
    <w:p w14:paraId="5A772404" w14:textId="77777777" w:rsidR="008502EF" w:rsidRPr="005E3C07" w:rsidRDefault="008502EF" w:rsidP="008502EF">
      <w:pPr>
        <w:ind w:left="1080"/>
        <w:rPr>
          <w:rFonts w:asciiTheme="majorHAnsi" w:hAnsiTheme="majorHAnsi" w:cstheme="majorHAnsi"/>
        </w:rPr>
      </w:pPr>
    </w:p>
    <w:p w14:paraId="27AD9DB3" w14:textId="77777777" w:rsidR="008502EF" w:rsidRPr="005E3C07" w:rsidRDefault="008502EF" w:rsidP="008502EF">
      <w:pPr>
        <w:pStyle w:val="ListParagraph"/>
        <w:numPr>
          <w:ilvl w:val="0"/>
          <w:numId w:val="10"/>
        </w:numPr>
        <w:spacing w:after="0" w:line="240" w:lineRule="auto"/>
        <w:ind w:left="1080"/>
        <w:rPr>
          <w:rFonts w:asciiTheme="majorHAnsi" w:hAnsiTheme="majorHAnsi" w:cstheme="majorHAnsi"/>
          <w:lang w:val="en-US"/>
        </w:rPr>
      </w:pPr>
      <w:r w:rsidRPr="005E3C07">
        <w:rPr>
          <w:rFonts w:asciiTheme="majorHAnsi" w:hAnsiTheme="majorHAnsi" w:cstheme="majorHAnsi"/>
          <w:lang w:val="en-US"/>
        </w:rPr>
        <w:t xml:space="preserve">And it’s </w:t>
      </w:r>
      <w:r w:rsidRPr="005E3C07">
        <w:rPr>
          <w:rFonts w:asciiTheme="majorHAnsi" w:hAnsiTheme="majorHAnsi" w:cstheme="majorHAnsi"/>
          <w:b/>
          <w:bCs/>
          <w:i/>
          <w:iCs/>
          <w:u w:val="single"/>
          <w:lang w:val="en-US"/>
        </w:rPr>
        <w:t>essential</w:t>
      </w:r>
      <w:r w:rsidRPr="005E3C07">
        <w:rPr>
          <w:rFonts w:asciiTheme="majorHAnsi" w:hAnsiTheme="majorHAnsi" w:cstheme="majorHAnsi"/>
          <w:u w:val="single"/>
          <w:lang w:val="en-US"/>
        </w:rPr>
        <w:t xml:space="preserve"> </w:t>
      </w:r>
      <w:r w:rsidRPr="005E3C07">
        <w:rPr>
          <w:rFonts w:asciiTheme="majorHAnsi" w:hAnsiTheme="majorHAnsi" w:cstheme="majorHAnsi"/>
          <w:b/>
          <w:bCs/>
          <w:i/>
          <w:iCs/>
          <w:u w:val="single"/>
          <w:lang w:val="en-US"/>
        </w:rPr>
        <w:t>to copy</w:t>
      </w:r>
      <w:r w:rsidRPr="005E3C07">
        <w:rPr>
          <w:rFonts w:asciiTheme="majorHAnsi" w:hAnsiTheme="majorHAnsi" w:cstheme="majorHAnsi"/>
          <w:lang w:val="en-US"/>
        </w:rPr>
        <w:t xml:space="preserve"> in the following persons:</w:t>
      </w:r>
    </w:p>
    <w:p w14:paraId="4A879340" w14:textId="77777777" w:rsidR="008502EF" w:rsidRPr="005E3C07" w:rsidRDefault="008502EF" w:rsidP="008502EF">
      <w:pPr>
        <w:pStyle w:val="ListParagraph"/>
        <w:numPr>
          <w:ilvl w:val="1"/>
          <w:numId w:val="11"/>
        </w:numPr>
        <w:spacing w:after="0" w:line="240" w:lineRule="auto"/>
        <w:rPr>
          <w:rFonts w:asciiTheme="majorHAnsi" w:hAnsiTheme="majorHAnsi" w:cstheme="majorHAnsi"/>
          <w:lang w:val="en-US"/>
        </w:rPr>
      </w:pPr>
      <w:r w:rsidRPr="005E3C07">
        <w:rPr>
          <w:rFonts w:asciiTheme="majorHAnsi" w:hAnsiTheme="majorHAnsi" w:cstheme="majorHAnsi"/>
          <w:i/>
          <w:iCs/>
          <w:lang w:val="en-US"/>
        </w:rPr>
        <w:t>The EAP</w:t>
      </w:r>
      <w:r w:rsidRPr="005E3C07">
        <w:rPr>
          <w:rFonts w:asciiTheme="majorHAnsi" w:hAnsiTheme="majorHAnsi" w:cstheme="majorHAnsi"/>
          <w:lang w:val="en-US"/>
        </w:rPr>
        <w:t xml:space="preserve">: (Contact person) </w:t>
      </w:r>
      <w:proofErr w:type="spellStart"/>
      <w:r w:rsidRPr="005E3C07">
        <w:rPr>
          <w:rFonts w:asciiTheme="majorHAnsi" w:hAnsiTheme="majorHAnsi" w:cstheme="majorHAnsi"/>
          <w:lang w:val="en-US"/>
        </w:rPr>
        <w:t>Safiyya</w:t>
      </w:r>
      <w:proofErr w:type="spellEnd"/>
      <w:r w:rsidRPr="005E3C07">
        <w:rPr>
          <w:rFonts w:asciiTheme="majorHAnsi" w:hAnsiTheme="majorHAnsi" w:cstheme="majorHAnsi"/>
          <w:lang w:val="en-US"/>
        </w:rPr>
        <w:t xml:space="preserve"> </w:t>
      </w:r>
      <w:proofErr w:type="spellStart"/>
      <w:r w:rsidRPr="005E3C07">
        <w:rPr>
          <w:rFonts w:asciiTheme="majorHAnsi" w:hAnsiTheme="majorHAnsi" w:cstheme="majorHAnsi"/>
          <w:lang w:val="en-US"/>
        </w:rPr>
        <w:t>Sedick</w:t>
      </w:r>
      <w:proofErr w:type="spellEnd"/>
      <w:r w:rsidRPr="005E3C07">
        <w:rPr>
          <w:rFonts w:asciiTheme="majorHAnsi" w:hAnsiTheme="majorHAnsi" w:cstheme="majorHAnsi"/>
          <w:lang w:val="en-US"/>
        </w:rPr>
        <w:t xml:space="preserve"> at </w:t>
      </w:r>
      <w:hyperlink r:id="rId9" w:history="1">
        <w:r w:rsidRPr="005E3C07">
          <w:rPr>
            <w:rStyle w:val="Hyperlink"/>
            <w:rFonts w:asciiTheme="majorHAnsi" w:hAnsiTheme="majorHAnsi" w:cstheme="majorHAnsi"/>
            <w:lang w:val="en-US"/>
          </w:rPr>
          <w:t>info@anchorenvironmental.co.za</w:t>
        </w:r>
      </w:hyperlink>
      <w:r w:rsidRPr="005E3C07">
        <w:rPr>
          <w:rFonts w:asciiTheme="majorHAnsi" w:hAnsiTheme="majorHAnsi" w:cstheme="majorHAnsi"/>
          <w:lang w:val="en-US"/>
        </w:rPr>
        <w:t xml:space="preserve"> </w:t>
      </w:r>
    </w:p>
    <w:p w14:paraId="4E28D311" w14:textId="77777777" w:rsidR="008502EF" w:rsidRPr="005E3C07" w:rsidRDefault="008502EF" w:rsidP="008502EF">
      <w:pPr>
        <w:pStyle w:val="ListParagraph"/>
        <w:numPr>
          <w:ilvl w:val="1"/>
          <w:numId w:val="11"/>
        </w:numPr>
        <w:spacing w:after="0" w:line="240" w:lineRule="auto"/>
        <w:rPr>
          <w:rFonts w:asciiTheme="majorHAnsi" w:hAnsiTheme="majorHAnsi" w:cstheme="majorHAnsi"/>
          <w:lang w:val="en-US"/>
        </w:rPr>
      </w:pPr>
      <w:r w:rsidRPr="005E3C07">
        <w:rPr>
          <w:rFonts w:asciiTheme="majorHAnsi" w:hAnsiTheme="majorHAnsi" w:cstheme="majorHAnsi"/>
          <w:i/>
          <w:iCs/>
          <w:lang w:val="en-US"/>
        </w:rPr>
        <w:t>The Applicant</w:t>
      </w:r>
      <w:r w:rsidRPr="005E3C07">
        <w:rPr>
          <w:rFonts w:asciiTheme="majorHAnsi" w:hAnsiTheme="majorHAnsi" w:cstheme="majorHAnsi"/>
          <w:lang w:val="en-US"/>
        </w:rPr>
        <w:t xml:space="preserve"> (DAFF: Aquaculture &amp; Economic Development</w:t>
      </w:r>
      <w:proofErr w:type="gramStart"/>
      <w:r w:rsidRPr="005E3C07">
        <w:rPr>
          <w:rFonts w:asciiTheme="majorHAnsi" w:hAnsiTheme="majorHAnsi" w:cstheme="majorHAnsi"/>
          <w:lang w:val="en-US"/>
        </w:rPr>
        <w:t>) :</w:t>
      </w:r>
      <w:proofErr w:type="gramEnd"/>
      <w:r w:rsidRPr="005E3C07">
        <w:rPr>
          <w:rFonts w:asciiTheme="majorHAnsi" w:hAnsiTheme="majorHAnsi" w:cstheme="majorHAnsi"/>
          <w:lang w:val="en-US"/>
        </w:rPr>
        <w:t xml:space="preserve"> </w:t>
      </w:r>
      <w:proofErr w:type="spellStart"/>
      <w:r w:rsidRPr="005E3C07">
        <w:rPr>
          <w:rFonts w:asciiTheme="majorHAnsi" w:hAnsiTheme="majorHAnsi" w:cstheme="majorHAnsi"/>
          <w:lang w:val="en-US"/>
        </w:rPr>
        <w:t>Ms</w:t>
      </w:r>
      <w:proofErr w:type="spellEnd"/>
      <w:r w:rsidRPr="005E3C07">
        <w:rPr>
          <w:rFonts w:asciiTheme="majorHAnsi" w:hAnsiTheme="majorHAnsi" w:cstheme="majorHAnsi"/>
          <w:lang w:val="en-US"/>
        </w:rPr>
        <w:t xml:space="preserve"> </w:t>
      </w:r>
      <w:proofErr w:type="spellStart"/>
      <w:r w:rsidRPr="005E3C07">
        <w:rPr>
          <w:rFonts w:asciiTheme="majorHAnsi" w:hAnsiTheme="majorHAnsi" w:cstheme="majorHAnsi"/>
          <w:lang w:val="en-US"/>
        </w:rPr>
        <w:t>Zimasa</w:t>
      </w:r>
      <w:proofErr w:type="spellEnd"/>
      <w:r w:rsidRPr="005E3C07">
        <w:rPr>
          <w:rFonts w:asciiTheme="majorHAnsi" w:hAnsiTheme="majorHAnsi" w:cstheme="majorHAnsi"/>
          <w:lang w:val="en-US"/>
        </w:rPr>
        <w:t xml:space="preserve"> </w:t>
      </w:r>
      <w:proofErr w:type="spellStart"/>
      <w:r w:rsidRPr="005E3C07">
        <w:rPr>
          <w:rFonts w:asciiTheme="majorHAnsi" w:hAnsiTheme="majorHAnsi" w:cstheme="majorHAnsi"/>
          <w:lang w:val="en-US"/>
        </w:rPr>
        <w:t>Jika</w:t>
      </w:r>
      <w:proofErr w:type="spellEnd"/>
      <w:r w:rsidRPr="005E3C07">
        <w:rPr>
          <w:rFonts w:asciiTheme="majorHAnsi" w:hAnsiTheme="majorHAnsi" w:cstheme="majorHAnsi"/>
          <w:lang w:val="en-US"/>
        </w:rPr>
        <w:t xml:space="preserve"> at </w:t>
      </w:r>
      <w:hyperlink r:id="rId10" w:history="1">
        <w:r w:rsidRPr="005E3C07">
          <w:rPr>
            <w:rStyle w:val="Hyperlink"/>
            <w:rFonts w:asciiTheme="majorHAnsi" w:hAnsiTheme="majorHAnsi" w:cstheme="majorHAnsi"/>
            <w:lang w:val="en-US"/>
          </w:rPr>
          <w:t>zjika@environment.gov.za</w:t>
        </w:r>
      </w:hyperlink>
      <w:r w:rsidRPr="005E3C07">
        <w:rPr>
          <w:rFonts w:asciiTheme="majorHAnsi" w:hAnsiTheme="majorHAnsi" w:cstheme="majorHAnsi"/>
          <w:lang w:val="en-US"/>
        </w:rPr>
        <w:t xml:space="preserve"> </w:t>
      </w:r>
    </w:p>
    <w:p w14:paraId="0F3624B2" w14:textId="77777777" w:rsidR="008502EF" w:rsidRPr="005E3C07" w:rsidRDefault="008502EF" w:rsidP="008502EF">
      <w:pPr>
        <w:pStyle w:val="ListParagraph"/>
        <w:numPr>
          <w:ilvl w:val="1"/>
          <w:numId w:val="11"/>
        </w:numPr>
        <w:spacing w:after="0" w:line="240" w:lineRule="auto"/>
        <w:rPr>
          <w:rFonts w:asciiTheme="majorHAnsi" w:hAnsiTheme="majorHAnsi" w:cstheme="majorHAnsi"/>
          <w:lang w:val="en-US"/>
        </w:rPr>
      </w:pPr>
      <w:r w:rsidRPr="005E3C07">
        <w:rPr>
          <w:rFonts w:asciiTheme="majorHAnsi" w:hAnsiTheme="majorHAnsi" w:cstheme="majorHAnsi"/>
          <w:i/>
          <w:iCs/>
          <w:lang w:val="en-US"/>
        </w:rPr>
        <w:t>The Decision-Maker</w:t>
      </w:r>
      <w:r w:rsidRPr="005E3C07">
        <w:rPr>
          <w:rFonts w:asciiTheme="majorHAnsi" w:hAnsiTheme="majorHAnsi" w:cstheme="majorHAnsi"/>
          <w:lang w:val="en-US"/>
        </w:rPr>
        <w:t xml:space="preserve">: (DEFF) </w:t>
      </w:r>
      <w:proofErr w:type="spellStart"/>
      <w:r w:rsidRPr="005E3C07">
        <w:rPr>
          <w:rFonts w:asciiTheme="majorHAnsi" w:hAnsiTheme="majorHAnsi" w:cstheme="majorHAnsi"/>
          <w:lang w:val="en-US"/>
        </w:rPr>
        <w:t>Mr</w:t>
      </w:r>
      <w:proofErr w:type="spellEnd"/>
      <w:r w:rsidRPr="005E3C07">
        <w:rPr>
          <w:rFonts w:asciiTheme="majorHAnsi" w:hAnsiTheme="majorHAnsi" w:cstheme="majorHAnsi"/>
          <w:lang w:val="en-US"/>
        </w:rPr>
        <w:t xml:space="preserve"> </w:t>
      </w:r>
      <w:proofErr w:type="spellStart"/>
      <w:r w:rsidRPr="005E3C07">
        <w:rPr>
          <w:rFonts w:asciiTheme="majorHAnsi" w:hAnsiTheme="majorHAnsi" w:cstheme="majorHAnsi"/>
          <w:lang w:val="en-US"/>
        </w:rPr>
        <w:t>Sabelo</w:t>
      </w:r>
      <w:proofErr w:type="spellEnd"/>
      <w:r w:rsidRPr="005E3C07">
        <w:rPr>
          <w:rFonts w:asciiTheme="majorHAnsi" w:hAnsiTheme="majorHAnsi" w:cstheme="majorHAnsi"/>
          <w:lang w:val="en-US"/>
        </w:rPr>
        <w:t xml:space="preserve"> </w:t>
      </w:r>
      <w:proofErr w:type="spellStart"/>
      <w:r w:rsidRPr="005E3C07">
        <w:rPr>
          <w:rFonts w:asciiTheme="majorHAnsi" w:hAnsiTheme="majorHAnsi" w:cstheme="majorHAnsi"/>
          <w:lang w:val="en-US"/>
        </w:rPr>
        <w:t>Malaza</w:t>
      </w:r>
      <w:proofErr w:type="spellEnd"/>
      <w:r w:rsidRPr="005E3C07">
        <w:rPr>
          <w:rFonts w:asciiTheme="majorHAnsi" w:hAnsiTheme="majorHAnsi" w:cstheme="majorHAnsi"/>
          <w:lang w:val="en-US"/>
        </w:rPr>
        <w:t xml:space="preserve">; Chief Director: Integrated Environmental </w:t>
      </w:r>
      <w:proofErr w:type="spellStart"/>
      <w:r w:rsidRPr="005E3C07">
        <w:rPr>
          <w:rFonts w:asciiTheme="majorHAnsi" w:hAnsiTheme="majorHAnsi" w:cstheme="majorHAnsi"/>
          <w:lang w:val="en-US"/>
        </w:rPr>
        <w:t>Authorisations</w:t>
      </w:r>
      <w:proofErr w:type="spellEnd"/>
      <w:r w:rsidRPr="005E3C07">
        <w:rPr>
          <w:rFonts w:asciiTheme="majorHAnsi" w:hAnsiTheme="majorHAnsi" w:cstheme="majorHAnsi"/>
          <w:lang w:val="en-US"/>
        </w:rPr>
        <w:t xml:space="preserve"> at </w:t>
      </w:r>
      <w:hyperlink r:id="rId11" w:history="1">
        <w:r w:rsidRPr="005E3C07">
          <w:rPr>
            <w:rStyle w:val="Hyperlink"/>
            <w:rFonts w:asciiTheme="majorHAnsi" w:hAnsiTheme="majorHAnsi" w:cstheme="majorHAnsi"/>
            <w:lang w:val="en-US"/>
          </w:rPr>
          <w:t>smalaza@environment.gov.za</w:t>
        </w:r>
      </w:hyperlink>
      <w:r w:rsidRPr="005E3C07">
        <w:rPr>
          <w:rFonts w:asciiTheme="majorHAnsi" w:hAnsiTheme="majorHAnsi" w:cstheme="majorHAnsi"/>
          <w:lang w:val="en-US"/>
        </w:rPr>
        <w:t xml:space="preserve"> </w:t>
      </w:r>
    </w:p>
    <w:p w14:paraId="2B2A7B42" w14:textId="77777777" w:rsidR="008502EF" w:rsidRPr="005E3C07" w:rsidRDefault="008502EF" w:rsidP="008502EF">
      <w:pPr>
        <w:pStyle w:val="ListParagraph"/>
        <w:numPr>
          <w:ilvl w:val="1"/>
          <w:numId w:val="11"/>
        </w:numPr>
        <w:spacing w:after="0" w:line="240" w:lineRule="auto"/>
        <w:rPr>
          <w:rFonts w:asciiTheme="majorHAnsi" w:hAnsiTheme="majorHAnsi" w:cstheme="majorHAnsi"/>
          <w:lang w:val="en-US"/>
        </w:rPr>
      </w:pPr>
      <w:r w:rsidRPr="005E3C07">
        <w:rPr>
          <w:rFonts w:asciiTheme="majorHAnsi" w:hAnsiTheme="majorHAnsi" w:cstheme="majorHAnsi"/>
          <w:lang w:val="en-US"/>
        </w:rPr>
        <w:t xml:space="preserve">And the following key </w:t>
      </w:r>
      <w:r w:rsidRPr="005E3C07">
        <w:rPr>
          <w:rFonts w:asciiTheme="majorHAnsi" w:hAnsiTheme="majorHAnsi" w:cstheme="majorHAnsi"/>
          <w:i/>
          <w:iCs/>
          <w:lang w:val="en-US"/>
        </w:rPr>
        <w:t>I&amp;AP’s*</w:t>
      </w:r>
      <w:r w:rsidRPr="005E3C07">
        <w:rPr>
          <w:rFonts w:asciiTheme="majorHAnsi" w:hAnsiTheme="majorHAnsi" w:cstheme="majorHAnsi"/>
          <w:lang w:val="en-US"/>
        </w:rPr>
        <w:t xml:space="preserve">: </w:t>
      </w:r>
    </w:p>
    <w:p w14:paraId="17C76E77" w14:textId="77777777" w:rsidR="008502EF" w:rsidRPr="005E3C07" w:rsidRDefault="008502EF" w:rsidP="008502EF">
      <w:pPr>
        <w:pStyle w:val="ListParagraph"/>
        <w:numPr>
          <w:ilvl w:val="2"/>
          <w:numId w:val="11"/>
        </w:numPr>
        <w:spacing w:after="0" w:line="240" w:lineRule="auto"/>
        <w:rPr>
          <w:rFonts w:asciiTheme="majorHAnsi" w:hAnsiTheme="majorHAnsi" w:cstheme="majorHAnsi"/>
          <w:lang w:val="en-US"/>
        </w:rPr>
      </w:pPr>
      <w:r w:rsidRPr="005E3C07">
        <w:rPr>
          <w:rFonts w:asciiTheme="majorHAnsi" w:hAnsiTheme="majorHAnsi" w:cstheme="majorHAnsi"/>
          <w:lang w:val="en-US"/>
        </w:rPr>
        <w:t xml:space="preserve">Mr. D Govender; Eastern Cape DEDEAT at </w:t>
      </w:r>
      <w:hyperlink r:id="rId12" w:history="1">
        <w:r w:rsidRPr="005E3C07">
          <w:rPr>
            <w:rStyle w:val="Hyperlink"/>
            <w:rFonts w:asciiTheme="majorHAnsi" w:hAnsiTheme="majorHAnsi" w:cstheme="majorHAnsi"/>
            <w:lang w:val="en-US"/>
          </w:rPr>
          <w:t>dayalan.govender@dedea.gov.za</w:t>
        </w:r>
      </w:hyperlink>
      <w:r w:rsidRPr="005E3C07">
        <w:rPr>
          <w:rFonts w:asciiTheme="majorHAnsi" w:hAnsiTheme="majorHAnsi" w:cstheme="majorHAnsi"/>
          <w:lang w:val="en-US"/>
        </w:rPr>
        <w:t xml:space="preserve"> </w:t>
      </w:r>
    </w:p>
    <w:p w14:paraId="58E59CC0" w14:textId="77777777" w:rsidR="008502EF" w:rsidRPr="005E3C07" w:rsidRDefault="008502EF" w:rsidP="008502EF">
      <w:pPr>
        <w:pStyle w:val="ListParagraph"/>
        <w:numPr>
          <w:ilvl w:val="2"/>
          <w:numId w:val="11"/>
        </w:numPr>
        <w:spacing w:after="0" w:line="240" w:lineRule="auto"/>
        <w:rPr>
          <w:rFonts w:asciiTheme="majorHAnsi" w:hAnsiTheme="majorHAnsi" w:cstheme="majorHAnsi"/>
          <w:lang w:val="en-US"/>
        </w:rPr>
      </w:pPr>
      <w:r w:rsidRPr="005E3C07">
        <w:rPr>
          <w:rFonts w:asciiTheme="majorHAnsi" w:hAnsiTheme="majorHAnsi" w:cstheme="majorHAnsi"/>
          <w:lang w:val="en-US"/>
        </w:rPr>
        <w:t xml:space="preserve">Mr. J </w:t>
      </w:r>
      <w:proofErr w:type="spellStart"/>
      <w:r w:rsidRPr="005E3C07">
        <w:rPr>
          <w:rFonts w:asciiTheme="majorHAnsi" w:hAnsiTheme="majorHAnsi" w:cstheme="majorHAnsi"/>
          <w:lang w:val="en-US"/>
        </w:rPr>
        <w:t>Mkosana</w:t>
      </w:r>
      <w:proofErr w:type="spellEnd"/>
      <w:r w:rsidRPr="005E3C07">
        <w:rPr>
          <w:rFonts w:asciiTheme="majorHAnsi" w:hAnsiTheme="majorHAnsi" w:cstheme="majorHAnsi"/>
          <w:lang w:val="en-US"/>
        </w:rPr>
        <w:t xml:space="preserve">, NMBM, at </w:t>
      </w:r>
      <w:hyperlink r:id="rId13" w:history="1">
        <w:r w:rsidRPr="005E3C07">
          <w:rPr>
            <w:rStyle w:val="Hyperlink"/>
            <w:rFonts w:asciiTheme="majorHAnsi" w:hAnsiTheme="majorHAnsi" w:cstheme="majorHAnsi"/>
            <w:lang w:val="en-US"/>
          </w:rPr>
          <w:t>JMkosana@mandelametro.gov.za</w:t>
        </w:r>
      </w:hyperlink>
    </w:p>
    <w:p w14:paraId="7BBB6390" w14:textId="77777777" w:rsidR="008502EF" w:rsidRPr="005E3C07" w:rsidRDefault="008502EF" w:rsidP="008502EF">
      <w:pPr>
        <w:rPr>
          <w:rFonts w:asciiTheme="majorHAnsi" w:hAnsiTheme="majorHAnsi" w:cstheme="majorHAnsi"/>
        </w:rPr>
      </w:pPr>
    </w:p>
    <w:p w14:paraId="5EE78824" w14:textId="77777777" w:rsidR="008502EF" w:rsidRPr="005E3C07" w:rsidRDefault="008502EF" w:rsidP="008502EF">
      <w:pPr>
        <w:ind w:left="360"/>
        <w:rPr>
          <w:rFonts w:asciiTheme="majorHAnsi" w:hAnsiTheme="majorHAnsi" w:cstheme="majorHAnsi"/>
        </w:rPr>
      </w:pPr>
      <w:r w:rsidRPr="005E3C07">
        <w:rPr>
          <w:rFonts w:asciiTheme="majorHAnsi" w:hAnsiTheme="majorHAnsi" w:cstheme="majorHAnsi"/>
        </w:rPr>
        <w:t>*</w:t>
      </w:r>
      <w:r w:rsidRPr="005E3C07">
        <w:rPr>
          <w:rFonts w:asciiTheme="majorHAnsi" w:hAnsiTheme="majorHAnsi" w:cstheme="majorHAnsi"/>
          <w:i/>
          <w:iCs/>
        </w:rPr>
        <w:t xml:space="preserve">Note: the appeal administrator has agreed that it would be impractical for appellants to copy ALL the interested and affected parties (I&amp;AP’s) involved in this process, and ALL the relevant government departments. But feel free to add in further I&amp;AP’s that you are aware of e.g. WESSA ABB (at </w:t>
      </w:r>
      <w:hyperlink r:id="rId14" w:history="1">
        <w:r w:rsidRPr="005E3C07">
          <w:rPr>
            <w:rStyle w:val="Hyperlink"/>
            <w:rFonts w:asciiTheme="majorHAnsi" w:hAnsiTheme="majorHAnsi" w:cstheme="majorHAnsi"/>
            <w:i/>
            <w:iCs/>
          </w:rPr>
          <w:t>garyk22@me.com</w:t>
        </w:r>
      </w:hyperlink>
      <w:r w:rsidRPr="005E3C07">
        <w:rPr>
          <w:rFonts w:asciiTheme="majorHAnsi" w:hAnsiTheme="majorHAnsi" w:cstheme="majorHAnsi"/>
          <w:i/>
          <w:iCs/>
        </w:rPr>
        <w:t>).</w:t>
      </w:r>
    </w:p>
    <w:p w14:paraId="735EBE97" w14:textId="77777777" w:rsidR="008502EF" w:rsidRPr="005E3C07" w:rsidRDefault="008502EF" w:rsidP="008502EF">
      <w:pPr>
        <w:rPr>
          <w:rFonts w:asciiTheme="majorHAnsi" w:hAnsiTheme="majorHAnsi" w:cstheme="majorHAnsi"/>
        </w:rPr>
      </w:pPr>
    </w:p>
    <w:p w14:paraId="14C2AE2E" w14:textId="77777777" w:rsidR="008502EF" w:rsidRPr="005E3C07" w:rsidRDefault="008502EF" w:rsidP="008502EF">
      <w:pPr>
        <w:pStyle w:val="ListParagraph"/>
        <w:numPr>
          <w:ilvl w:val="0"/>
          <w:numId w:val="9"/>
        </w:numPr>
        <w:spacing w:after="0" w:line="240" w:lineRule="auto"/>
        <w:rPr>
          <w:rFonts w:asciiTheme="majorHAnsi" w:hAnsiTheme="majorHAnsi" w:cstheme="majorHAnsi"/>
          <w:lang w:val="en-US"/>
        </w:rPr>
      </w:pPr>
      <w:r w:rsidRPr="005E3C07">
        <w:rPr>
          <w:rFonts w:asciiTheme="majorHAnsi" w:hAnsiTheme="majorHAnsi" w:cstheme="majorHAnsi"/>
          <w:lang w:val="en-US"/>
        </w:rPr>
        <w:t xml:space="preserve">Quote this reference number in the correspondence: </w:t>
      </w:r>
      <w:r w:rsidRPr="005E3C07">
        <w:rPr>
          <w:rFonts w:asciiTheme="majorHAnsi" w:hAnsiTheme="majorHAnsi" w:cstheme="majorHAnsi"/>
          <w:b/>
          <w:bCs/>
          <w:lang w:val="en-US"/>
        </w:rPr>
        <w:t>Ref # 14/12/16/3/3/1/2055 – Algoa Bay ADZ</w:t>
      </w:r>
    </w:p>
    <w:p w14:paraId="0BA0CFFD" w14:textId="77777777" w:rsidR="008502EF" w:rsidRPr="005E3C07" w:rsidRDefault="008502EF" w:rsidP="008502EF">
      <w:pPr>
        <w:rPr>
          <w:rFonts w:asciiTheme="majorHAnsi" w:hAnsiTheme="majorHAnsi" w:cstheme="majorHAnsi"/>
        </w:rPr>
      </w:pPr>
    </w:p>
    <w:p w14:paraId="3357D602" w14:textId="77777777" w:rsidR="008502EF" w:rsidRPr="005E3C07" w:rsidRDefault="008502EF" w:rsidP="008502EF">
      <w:pPr>
        <w:pStyle w:val="ListParagraph"/>
        <w:numPr>
          <w:ilvl w:val="0"/>
          <w:numId w:val="9"/>
        </w:numPr>
        <w:spacing w:after="0" w:line="240" w:lineRule="auto"/>
        <w:rPr>
          <w:rFonts w:asciiTheme="majorHAnsi" w:hAnsiTheme="majorHAnsi" w:cstheme="majorHAnsi"/>
          <w:lang w:val="en-US"/>
        </w:rPr>
      </w:pPr>
      <w:r w:rsidRPr="005E3C07">
        <w:rPr>
          <w:rFonts w:asciiTheme="majorHAnsi" w:hAnsiTheme="majorHAnsi" w:cstheme="majorHAnsi"/>
          <w:b/>
          <w:bCs/>
          <w:i/>
          <w:iCs/>
          <w:lang w:val="en-US"/>
        </w:rPr>
        <w:t>Include a statement</w:t>
      </w:r>
      <w:r w:rsidRPr="005E3C07">
        <w:rPr>
          <w:rFonts w:asciiTheme="majorHAnsi" w:hAnsiTheme="majorHAnsi" w:cstheme="majorHAnsi"/>
          <w:lang w:val="en-US"/>
        </w:rPr>
        <w:t xml:space="preserve"> at the beginning of your appeal along the lines of: </w:t>
      </w:r>
    </w:p>
    <w:p w14:paraId="4BB9CDF0" w14:textId="77777777" w:rsidR="008502EF" w:rsidRPr="005E3C07" w:rsidRDefault="008502EF" w:rsidP="008502EF">
      <w:pPr>
        <w:ind w:left="720"/>
        <w:rPr>
          <w:rFonts w:asciiTheme="majorHAnsi" w:hAnsiTheme="majorHAnsi" w:cstheme="majorHAnsi"/>
        </w:rPr>
      </w:pPr>
      <w:r w:rsidRPr="005E3C07">
        <w:rPr>
          <w:rFonts w:asciiTheme="majorHAnsi" w:hAnsiTheme="majorHAnsi" w:cstheme="majorHAnsi"/>
          <w:i/>
          <w:iCs/>
        </w:rPr>
        <w:t xml:space="preserve">As per </w:t>
      </w:r>
      <w:proofErr w:type="gramStart"/>
      <w:r w:rsidRPr="005E3C07">
        <w:rPr>
          <w:rFonts w:asciiTheme="majorHAnsi" w:hAnsiTheme="majorHAnsi" w:cstheme="majorHAnsi"/>
          <w:i/>
          <w:iCs/>
        </w:rPr>
        <w:t>4.(</w:t>
      </w:r>
      <w:proofErr w:type="gramEnd"/>
      <w:r w:rsidRPr="005E3C07">
        <w:rPr>
          <w:rFonts w:asciiTheme="majorHAnsi" w:hAnsiTheme="majorHAnsi" w:cstheme="majorHAnsi"/>
          <w:i/>
          <w:iCs/>
        </w:rPr>
        <w:t xml:space="preserve">1) of the National Appeal Regulation (No. R. 993, 08 December 2014) and as per correspondence between Director </w:t>
      </w:r>
      <w:proofErr w:type="spellStart"/>
      <w:r w:rsidRPr="005E3C07">
        <w:rPr>
          <w:rFonts w:asciiTheme="majorHAnsi" w:hAnsiTheme="majorHAnsi" w:cstheme="majorHAnsi"/>
          <w:i/>
          <w:iCs/>
        </w:rPr>
        <w:t>Rakgogo</w:t>
      </w:r>
      <w:proofErr w:type="spellEnd"/>
      <w:r w:rsidRPr="005E3C07">
        <w:rPr>
          <w:rFonts w:asciiTheme="majorHAnsi" w:hAnsiTheme="majorHAnsi" w:cstheme="majorHAnsi"/>
          <w:i/>
          <w:iCs/>
        </w:rPr>
        <w:t xml:space="preserve"> and WESSA ABB (04 March. 2020) on the matter of informing all I&amp;AP’s specifically in this case*, I hereby confirm that this appeal represents the views of myself/ [or insert organization name] that I represent, and that a copy of the appeal has been sent on this day [insert date] via [email/letter/hand delivered] to the decision-maker, the applicant, the EAP and the both the Eastern Cape’s DEDEAT and the NMB municipality (as key I&amp;AP’s) in compliance with the appeal regulations</w:t>
      </w:r>
      <w:r w:rsidRPr="005E3C07">
        <w:rPr>
          <w:rFonts w:asciiTheme="majorHAnsi" w:hAnsiTheme="majorHAnsi" w:cstheme="majorHAnsi"/>
        </w:rPr>
        <w:t>.</w:t>
      </w:r>
    </w:p>
    <w:p w14:paraId="321E4768" w14:textId="77777777" w:rsidR="008502EF" w:rsidRPr="005E3C07" w:rsidRDefault="008502EF" w:rsidP="008502EF">
      <w:pPr>
        <w:rPr>
          <w:rFonts w:asciiTheme="majorHAnsi" w:hAnsiTheme="majorHAnsi" w:cstheme="majorHAnsi"/>
        </w:rPr>
      </w:pPr>
    </w:p>
    <w:p w14:paraId="4EA624BE" w14:textId="2EBDCD9B" w:rsidR="008502EF" w:rsidRPr="005E3C07" w:rsidRDefault="008502EF" w:rsidP="008502EF">
      <w:pPr>
        <w:pStyle w:val="ListParagraph"/>
        <w:numPr>
          <w:ilvl w:val="0"/>
          <w:numId w:val="9"/>
        </w:numPr>
        <w:spacing w:after="0" w:line="240" w:lineRule="auto"/>
        <w:rPr>
          <w:rFonts w:asciiTheme="majorHAnsi" w:hAnsiTheme="majorHAnsi" w:cstheme="majorHAnsi"/>
          <w:lang w:val="en-US"/>
        </w:rPr>
      </w:pPr>
      <w:r w:rsidRPr="005E3C07">
        <w:rPr>
          <w:rFonts w:asciiTheme="majorHAnsi" w:hAnsiTheme="majorHAnsi" w:cstheme="majorHAnsi"/>
          <w:b/>
          <w:bCs/>
          <w:lang w:val="en-US"/>
        </w:rPr>
        <w:t xml:space="preserve">Documents to submit: </w:t>
      </w:r>
      <w:r w:rsidRPr="005E3C07">
        <w:rPr>
          <w:rFonts w:asciiTheme="majorHAnsi" w:hAnsiTheme="majorHAnsi" w:cstheme="majorHAnsi"/>
          <w:lang w:val="en-US"/>
        </w:rPr>
        <w:t xml:space="preserve">Please use BOTH </w:t>
      </w:r>
      <w:r w:rsidRPr="005E3C07">
        <w:rPr>
          <w:rFonts w:asciiTheme="majorHAnsi" w:hAnsiTheme="majorHAnsi" w:cstheme="majorHAnsi"/>
          <w:b/>
          <w:bCs/>
          <w:lang w:val="en-US"/>
        </w:rPr>
        <w:t xml:space="preserve">DEFF’s </w:t>
      </w:r>
      <w:r w:rsidRPr="005E3C07">
        <w:rPr>
          <w:rFonts w:asciiTheme="majorHAnsi" w:hAnsiTheme="majorHAnsi" w:cstheme="majorHAnsi"/>
          <w:b/>
          <w:bCs/>
          <w:u w:val="single"/>
          <w:lang w:val="en-US"/>
        </w:rPr>
        <w:t>appeal response form</w:t>
      </w:r>
      <w:r w:rsidRPr="005E3C07">
        <w:rPr>
          <w:rFonts w:asciiTheme="majorHAnsi" w:hAnsiTheme="majorHAnsi" w:cstheme="majorHAnsi"/>
          <w:b/>
          <w:bCs/>
          <w:lang w:val="en-US"/>
        </w:rPr>
        <w:t xml:space="preserve"> </w:t>
      </w:r>
      <w:r w:rsidRPr="005E3C07">
        <w:rPr>
          <w:rFonts w:asciiTheme="majorHAnsi" w:hAnsiTheme="majorHAnsi" w:cstheme="majorHAnsi"/>
          <w:lang w:val="en-US"/>
        </w:rPr>
        <w:t>and</w:t>
      </w:r>
      <w:r w:rsidRPr="005E3C07">
        <w:rPr>
          <w:rFonts w:asciiTheme="majorHAnsi" w:hAnsiTheme="majorHAnsi" w:cstheme="majorHAnsi"/>
          <w:b/>
          <w:bCs/>
          <w:lang w:val="en-US"/>
        </w:rPr>
        <w:t xml:space="preserve"> </w:t>
      </w:r>
      <w:r w:rsidRPr="005E3C07">
        <w:rPr>
          <w:rFonts w:asciiTheme="majorHAnsi" w:hAnsiTheme="majorHAnsi" w:cstheme="majorHAnsi"/>
          <w:b/>
          <w:bCs/>
          <w:u w:val="single"/>
          <w:lang w:val="en-US"/>
        </w:rPr>
        <w:t xml:space="preserve">appeal questionnaire </w:t>
      </w:r>
      <w:r w:rsidRPr="005E3C07">
        <w:rPr>
          <w:rFonts w:asciiTheme="majorHAnsi" w:hAnsiTheme="majorHAnsi" w:cstheme="majorHAnsi"/>
          <w:i/>
          <w:iCs/>
          <w:lang w:val="en-US"/>
        </w:rPr>
        <w:t xml:space="preserve">(it’s at the end of the “guidelines” document) </w:t>
      </w:r>
      <w:r w:rsidRPr="005E3C07">
        <w:rPr>
          <w:rFonts w:asciiTheme="majorHAnsi" w:hAnsiTheme="majorHAnsi" w:cstheme="majorHAnsi"/>
          <w:lang w:val="en-US"/>
        </w:rPr>
        <w:t>in submitting your appeal (attached). It</w:t>
      </w:r>
      <w:r w:rsidR="005E3C07">
        <w:rPr>
          <w:rFonts w:asciiTheme="majorHAnsi" w:hAnsiTheme="majorHAnsi" w:cstheme="majorHAnsi"/>
          <w:lang w:val="en-US"/>
        </w:rPr>
        <w:t>’</w:t>
      </w:r>
      <w:r w:rsidRPr="005E3C07">
        <w:rPr>
          <w:rFonts w:asciiTheme="majorHAnsi" w:hAnsiTheme="majorHAnsi" w:cstheme="majorHAnsi"/>
          <w:lang w:val="en-US"/>
        </w:rPr>
        <w:t>s complicated, we know, but it</w:t>
      </w:r>
      <w:r w:rsidR="005E3C07">
        <w:rPr>
          <w:rFonts w:asciiTheme="majorHAnsi" w:hAnsiTheme="majorHAnsi" w:cstheme="majorHAnsi"/>
          <w:lang w:val="en-US"/>
        </w:rPr>
        <w:t>’</w:t>
      </w:r>
      <w:r w:rsidRPr="005E3C07">
        <w:rPr>
          <w:rFonts w:asciiTheme="majorHAnsi" w:hAnsiTheme="majorHAnsi" w:cstheme="majorHAnsi"/>
          <w:lang w:val="en-US"/>
        </w:rPr>
        <w:t>s important to ensure you comply with all the requirements. WESSA ABB will consolidate our appeal into one document and then reference our document in completing DEFF’s forms.</w:t>
      </w:r>
    </w:p>
    <w:p w14:paraId="56DC5D32" w14:textId="77777777" w:rsidR="008502EF" w:rsidRPr="005E3C07" w:rsidRDefault="008502EF" w:rsidP="008502EF">
      <w:pPr>
        <w:rPr>
          <w:rFonts w:asciiTheme="majorHAnsi" w:hAnsiTheme="majorHAnsi" w:cstheme="majorHAnsi"/>
        </w:rPr>
      </w:pPr>
    </w:p>
    <w:p w14:paraId="5EF02EA3" w14:textId="6EB7B3C1" w:rsidR="008502EF" w:rsidRPr="005E3C07" w:rsidRDefault="008502EF" w:rsidP="008502EF">
      <w:pPr>
        <w:pStyle w:val="ListParagraph"/>
        <w:numPr>
          <w:ilvl w:val="0"/>
          <w:numId w:val="9"/>
        </w:numPr>
        <w:spacing w:after="0" w:line="240" w:lineRule="auto"/>
        <w:rPr>
          <w:rFonts w:asciiTheme="majorHAnsi" w:hAnsiTheme="majorHAnsi" w:cstheme="majorHAnsi"/>
          <w:lang w:val="en-US"/>
        </w:rPr>
      </w:pPr>
      <w:r w:rsidRPr="005E3C07">
        <w:rPr>
          <w:rFonts w:asciiTheme="majorHAnsi" w:hAnsiTheme="majorHAnsi" w:cstheme="majorHAnsi"/>
          <w:b/>
          <w:bCs/>
          <w:lang w:val="en-US"/>
        </w:rPr>
        <w:t>Deadline for appeal:</w:t>
      </w:r>
      <w:r w:rsidRPr="005E3C07">
        <w:rPr>
          <w:rFonts w:asciiTheme="majorHAnsi" w:hAnsiTheme="majorHAnsi" w:cstheme="majorHAnsi"/>
          <w:lang w:val="en-US"/>
        </w:rPr>
        <w:t xml:space="preserve"> The appeal must be made before close of business on </w:t>
      </w:r>
      <w:r w:rsidRPr="005E3C07">
        <w:rPr>
          <w:rFonts w:asciiTheme="majorHAnsi" w:hAnsiTheme="majorHAnsi" w:cstheme="majorHAnsi"/>
          <w:b/>
          <w:bCs/>
          <w:lang w:val="en-US"/>
        </w:rPr>
        <w:t>19 March 2020</w:t>
      </w:r>
      <w:r w:rsidRPr="005E3C07">
        <w:rPr>
          <w:rFonts w:asciiTheme="majorHAnsi" w:hAnsiTheme="majorHAnsi" w:cstheme="majorHAnsi"/>
          <w:lang w:val="en-US"/>
        </w:rPr>
        <w:t>. We suggest all appeals are submitted by 14:00 on the 19 March.</w:t>
      </w:r>
    </w:p>
    <w:p w14:paraId="3F3A1D80" w14:textId="77777777" w:rsidR="008502EF" w:rsidRPr="005E3C07" w:rsidRDefault="008502EF" w:rsidP="008502EF">
      <w:pPr>
        <w:rPr>
          <w:rFonts w:asciiTheme="majorHAnsi" w:hAnsiTheme="majorHAnsi" w:cstheme="majorHAnsi"/>
        </w:rPr>
      </w:pPr>
    </w:p>
    <w:p w14:paraId="338A7BC3" w14:textId="77777777" w:rsidR="008502EF" w:rsidRPr="005E3C07" w:rsidRDefault="008502EF" w:rsidP="008502EF">
      <w:pPr>
        <w:pStyle w:val="ListParagraph"/>
        <w:numPr>
          <w:ilvl w:val="0"/>
          <w:numId w:val="9"/>
        </w:numPr>
        <w:spacing w:after="0" w:line="240" w:lineRule="auto"/>
        <w:rPr>
          <w:rFonts w:asciiTheme="majorHAnsi" w:hAnsiTheme="majorHAnsi" w:cstheme="majorHAnsi"/>
          <w:lang w:val="en-US"/>
        </w:rPr>
      </w:pPr>
      <w:r w:rsidRPr="005E3C07">
        <w:rPr>
          <w:rFonts w:asciiTheme="majorHAnsi" w:hAnsiTheme="majorHAnsi" w:cstheme="majorHAnsi"/>
          <w:lang w:val="en-US"/>
        </w:rPr>
        <w:t>It’s important to note the following when considering your appeal:</w:t>
      </w:r>
    </w:p>
    <w:p w14:paraId="62BAAD85" w14:textId="77777777" w:rsidR="008502EF" w:rsidRPr="005E3C07" w:rsidRDefault="008502EF" w:rsidP="008502EF">
      <w:pPr>
        <w:pStyle w:val="ListParagraph"/>
        <w:numPr>
          <w:ilvl w:val="1"/>
          <w:numId w:val="9"/>
        </w:numPr>
        <w:spacing w:after="0" w:line="240" w:lineRule="auto"/>
        <w:rPr>
          <w:rFonts w:asciiTheme="majorHAnsi" w:hAnsiTheme="majorHAnsi" w:cstheme="majorHAnsi"/>
          <w:lang w:val="en-US"/>
        </w:rPr>
      </w:pPr>
      <w:r w:rsidRPr="005E3C07">
        <w:rPr>
          <w:rFonts w:asciiTheme="majorHAnsi" w:hAnsiTheme="majorHAnsi" w:cstheme="majorHAnsi"/>
          <w:lang w:val="en-US"/>
        </w:rPr>
        <w:t xml:space="preserve">The approved ADZ consists of </w:t>
      </w:r>
      <w:r w:rsidRPr="005E3C07">
        <w:rPr>
          <w:rFonts w:asciiTheme="majorHAnsi" w:hAnsiTheme="majorHAnsi" w:cstheme="majorHAnsi"/>
          <w:b/>
          <w:bCs/>
          <w:lang w:val="en-US"/>
        </w:rPr>
        <w:t>three different zones</w:t>
      </w:r>
      <w:r w:rsidRPr="005E3C07">
        <w:rPr>
          <w:rFonts w:asciiTheme="majorHAnsi" w:hAnsiTheme="majorHAnsi" w:cstheme="majorHAnsi"/>
          <w:lang w:val="en-US"/>
        </w:rPr>
        <w:t xml:space="preserve"> (see the attached DEFF authorization for further detail) within Algoa Bay:</w:t>
      </w:r>
    </w:p>
    <w:p w14:paraId="2E9FC4AC" w14:textId="77777777" w:rsidR="008502EF" w:rsidRPr="005E3C07" w:rsidRDefault="008502EF" w:rsidP="008502EF">
      <w:pPr>
        <w:pStyle w:val="ListParagraph"/>
        <w:numPr>
          <w:ilvl w:val="2"/>
          <w:numId w:val="9"/>
        </w:numPr>
        <w:spacing w:after="0" w:line="240" w:lineRule="auto"/>
        <w:rPr>
          <w:rFonts w:asciiTheme="majorHAnsi" w:hAnsiTheme="majorHAnsi" w:cstheme="majorHAnsi"/>
          <w:lang w:val="en-US"/>
        </w:rPr>
      </w:pPr>
      <w:r w:rsidRPr="005E3C07">
        <w:rPr>
          <w:rFonts w:asciiTheme="majorHAnsi" w:hAnsiTheme="majorHAnsi" w:cstheme="majorHAnsi"/>
          <w:b/>
          <w:bCs/>
          <w:lang w:val="en-US"/>
        </w:rPr>
        <w:t>Algoa 1 Option 1 – Summerstrand</w:t>
      </w:r>
      <w:r w:rsidRPr="005E3C07">
        <w:rPr>
          <w:rFonts w:asciiTheme="majorHAnsi" w:hAnsiTheme="majorHAnsi" w:cstheme="majorHAnsi"/>
          <w:lang w:val="en-US"/>
        </w:rPr>
        <w:t xml:space="preserve"> (284.4 ha) is authorized for </w:t>
      </w:r>
      <w:r w:rsidRPr="005E3C07">
        <w:rPr>
          <w:rFonts w:asciiTheme="majorHAnsi" w:hAnsiTheme="majorHAnsi" w:cstheme="majorHAnsi"/>
          <w:b/>
          <w:bCs/>
          <w:lang w:val="en-US"/>
        </w:rPr>
        <w:t>Bivalve</w:t>
      </w:r>
      <w:r w:rsidRPr="005E3C07">
        <w:rPr>
          <w:rFonts w:asciiTheme="majorHAnsi" w:hAnsiTheme="majorHAnsi" w:cstheme="majorHAnsi"/>
          <w:lang w:val="en-US"/>
        </w:rPr>
        <w:t xml:space="preserve"> (mussels and oysters) ONLY. The finfish component </w:t>
      </w:r>
      <w:r w:rsidRPr="005E3C07">
        <w:rPr>
          <w:rFonts w:asciiTheme="majorHAnsi" w:hAnsiTheme="majorHAnsi" w:cstheme="majorHAnsi"/>
          <w:b/>
          <w:bCs/>
          <w:lang w:val="en-US"/>
        </w:rPr>
        <w:t>has been dropped. Thus, no FISH farm off the southern beaches.</w:t>
      </w:r>
    </w:p>
    <w:p w14:paraId="4248CFE7" w14:textId="77777777" w:rsidR="008502EF" w:rsidRPr="005E3C07" w:rsidRDefault="008502EF" w:rsidP="008502EF">
      <w:pPr>
        <w:pStyle w:val="ListParagraph"/>
        <w:numPr>
          <w:ilvl w:val="2"/>
          <w:numId w:val="9"/>
        </w:numPr>
        <w:spacing w:after="0" w:line="240" w:lineRule="auto"/>
        <w:rPr>
          <w:rFonts w:asciiTheme="majorHAnsi" w:hAnsiTheme="majorHAnsi" w:cstheme="majorHAnsi"/>
          <w:lang w:val="en-US"/>
        </w:rPr>
      </w:pPr>
      <w:r w:rsidRPr="005E3C07">
        <w:rPr>
          <w:rFonts w:asciiTheme="majorHAnsi" w:hAnsiTheme="majorHAnsi" w:cstheme="majorHAnsi"/>
          <w:b/>
          <w:bCs/>
          <w:lang w:val="en-US"/>
        </w:rPr>
        <w:t xml:space="preserve">Algoa 6 – Port Elizabeth </w:t>
      </w:r>
      <w:proofErr w:type="spellStart"/>
      <w:r w:rsidRPr="005E3C07">
        <w:rPr>
          <w:rFonts w:asciiTheme="majorHAnsi" w:hAnsiTheme="majorHAnsi" w:cstheme="majorHAnsi"/>
          <w:b/>
          <w:bCs/>
          <w:lang w:val="en-US"/>
        </w:rPr>
        <w:t>Harbour</w:t>
      </w:r>
      <w:proofErr w:type="spellEnd"/>
      <w:r w:rsidRPr="005E3C07">
        <w:rPr>
          <w:rFonts w:asciiTheme="majorHAnsi" w:hAnsiTheme="majorHAnsi" w:cstheme="majorHAnsi"/>
          <w:lang w:val="en-US"/>
        </w:rPr>
        <w:t xml:space="preserve"> (479ha) is authorized for Bivalve (mussels and oysters) ONLY. Essentially it is an extension of the existing oyster farm area, north of PE harbor</w:t>
      </w:r>
    </w:p>
    <w:p w14:paraId="7E5CAD73" w14:textId="77777777" w:rsidR="008502EF" w:rsidRPr="005E3C07" w:rsidRDefault="008502EF" w:rsidP="008502EF">
      <w:pPr>
        <w:pStyle w:val="ListParagraph"/>
        <w:numPr>
          <w:ilvl w:val="2"/>
          <w:numId w:val="9"/>
        </w:numPr>
        <w:spacing w:after="0" w:line="240" w:lineRule="auto"/>
        <w:rPr>
          <w:rFonts w:asciiTheme="majorHAnsi" w:hAnsiTheme="majorHAnsi" w:cstheme="majorHAnsi"/>
          <w:lang w:val="en-US"/>
        </w:rPr>
      </w:pPr>
      <w:r w:rsidRPr="005E3C07">
        <w:rPr>
          <w:rFonts w:asciiTheme="majorHAnsi" w:hAnsiTheme="majorHAnsi" w:cstheme="majorHAnsi"/>
          <w:b/>
          <w:bCs/>
          <w:lang w:val="en-US"/>
        </w:rPr>
        <w:t xml:space="preserve">Algoa 7 – Ngqura </w:t>
      </w:r>
      <w:proofErr w:type="spellStart"/>
      <w:r w:rsidRPr="005E3C07">
        <w:rPr>
          <w:rFonts w:asciiTheme="majorHAnsi" w:hAnsiTheme="majorHAnsi" w:cstheme="majorHAnsi"/>
          <w:b/>
          <w:bCs/>
          <w:lang w:val="en-US"/>
        </w:rPr>
        <w:t>Harbour</w:t>
      </w:r>
      <w:proofErr w:type="spellEnd"/>
      <w:r w:rsidRPr="005E3C07">
        <w:rPr>
          <w:rFonts w:asciiTheme="majorHAnsi" w:hAnsiTheme="majorHAnsi" w:cstheme="majorHAnsi"/>
          <w:lang w:val="en-US"/>
        </w:rPr>
        <w:t xml:space="preserve"> (355ha) is authorized for Finfish (carnivorous fish grown in commercial cages) on a precautionary basis - the first year will be on a pilot operation basis of no more than 3 operators and restricted to 1000 </w:t>
      </w:r>
      <w:proofErr w:type="spellStart"/>
      <w:r w:rsidRPr="005E3C07">
        <w:rPr>
          <w:rFonts w:asciiTheme="majorHAnsi" w:hAnsiTheme="majorHAnsi" w:cstheme="majorHAnsi"/>
          <w:lang w:val="en-US"/>
        </w:rPr>
        <w:t>tonnes</w:t>
      </w:r>
      <w:proofErr w:type="spellEnd"/>
      <w:r w:rsidRPr="005E3C07">
        <w:rPr>
          <w:rFonts w:asciiTheme="majorHAnsi" w:hAnsiTheme="majorHAnsi" w:cstheme="majorHAnsi"/>
          <w:lang w:val="en-US"/>
        </w:rPr>
        <w:t xml:space="preserve"> of finfish to assess bio-physical and socio-economic impacts. If impacts are within acceptable impact limits, operators will be permitted to go full commercial up to between 3 555 and 4 947 </w:t>
      </w:r>
      <w:proofErr w:type="spellStart"/>
      <w:r w:rsidRPr="005E3C07">
        <w:rPr>
          <w:rFonts w:asciiTheme="majorHAnsi" w:hAnsiTheme="majorHAnsi" w:cstheme="majorHAnsi"/>
          <w:lang w:val="en-US"/>
        </w:rPr>
        <w:t>tonnes</w:t>
      </w:r>
      <w:proofErr w:type="spellEnd"/>
      <w:r w:rsidRPr="005E3C07">
        <w:rPr>
          <w:rFonts w:asciiTheme="majorHAnsi" w:hAnsiTheme="majorHAnsi" w:cstheme="majorHAnsi"/>
          <w:lang w:val="en-US"/>
        </w:rPr>
        <w:t xml:space="preserve"> depending on the species being farmed.</w:t>
      </w:r>
    </w:p>
    <w:p w14:paraId="4477217E" w14:textId="77777777" w:rsidR="008502EF" w:rsidRPr="005E3C07" w:rsidRDefault="008502EF" w:rsidP="008502EF">
      <w:pPr>
        <w:pStyle w:val="ListParagraph"/>
        <w:numPr>
          <w:ilvl w:val="1"/>
          <w:numId w:val="9"/>
        </w:numPr>
        <w:spacing w:after="0" w:line="240" w:lineRule="auto"/>
        <w:rPr>
          <w:rFonts w:asciiTheme="majorHAnsi" w:hAnsiTheme="majorHAnsi" w:cstheme="majorHAnsi"/>
          <w:lang w:val="en-US"/>
        </w:rPr>
      </w:pPr>
      <w:r w:rsidRPr="005E3C07">
        <w:rPr>
          <w:rFonts w:asciiTheme="majorHAnsi" w:hAnsiTheme="majorHAnsi" w:cstheme="majorHAnsi"/>
          <w:lang w:val="en-US"/>
        </w:rPr>
        <w:lastRenderedPageBreak/>
        <w:t xml:space="preserve">The authorization is for </w:t>
      </w:r>
      <w:r w:rsidRPr="005E3C07">
        <w:rPr>
          <w:rFonts w:asciiTheme="majorHAnsi" w:hAnsiTheme="majorHAnsi" w:cstheme="majorHAnsi"/>
          <w:b/>
          <w:bCs/>
          <w:lang w:val="en-US"/>
        </w:rPr>
        <w:t>five years</w:t>
      </w:r>
      <w:r w:rsidRPr="005E3C07">
        <w:rPr>
          <w:rFonts w:asciiTheme="majorHAnsi" w:hAnsiTheme="majorHAnsi" w:cstheme="majorHAnsi"/>
          <w:lang w:val="en-US"/>
        </w:rPr>
        <w:t xml:space="preserve"> from the date of the authorization (thus by 26 February 2025). If the authorized activity isn’t started within that period, the authorization lapses and a new application must be made.</w:t>
      </w:r>
    </w:p>
    <w:p w14:paraId="294CBD69" w14:textId="77777777" w:rsidR="008502EF" w:rsidRPr="005E3C07" w:rsidRDefault="008502EF" w:rsidP="008502EF">
      <w:pPr>
        <w:pStyle w:val="ListParagraph"/>
        <w:numPr>
          <w:ilvl w:val="1"/>
          <w:numId w:val="9"/>
        </w:numPr>
        <w:spacing w:after="0" w:line="240" w:lineRule="auto"/>
        <w:rPr>
          <w:rFonts w:asciiTheme="majorHAnsi" w:hAnsiTheme="majorHAnsi" w:cstheme="majorHAnsi"/>
          <w:lang w:val="en-US"/>
        </w:rPr>
      </w:pPr>
      <w:r w:rsidRPr="005E3C07">
        <w:rPr>
          <w:rFonts w:asciiTheme="majorHAnsi" w:hAnsiTheme="majorHAnsi" w:cstheme="majorHAnsi"/>
          <w:lang w:val="en-US"/>
        </w:rPr>
        <w:t xml:space="preserve">The activity cannot commence if an appeal is lodged and the activity is </w:t>
      </w:r>
      <w:r w:rsidRPr="005E3C07">
        <w:rPr>
          <w:rFonts w:asciiTheme="majorHAnsi" w:hAnsiTheme="majorHAnsi" w:cstheme="majorHAnsi"/>
          <w:i/>
          <w:iCs/>
          <w:u w:val="single"/>
          <w:lang w:val="en-US"/>
        </w:rPr>
        <w:t>suspended</w:t>
      </w:r>
      <w:r w:rsidRPr="005E3C07">
        <w:rPr>
          <w:rFonts w:asciiTheme="majorHAnsi" w:hAnsiTheme="majorHAnsi" w:cstheme="majorHAnsi"/>
          <w:lang w:val="en-US"/>
        </w:rPr>
        <w:t xml:space="preserve"> until such appeals are resolved.</w:t>
      </w:r>
    </w:p>
    <w:p w14:paraId="000B286F" w14:textId="3A3970A2" w:rsidR="008502EF" w:rsidRPr="005E3C07" w:rsidRDefault="008502EF" w:rsidP="008502EF">
      <w:pPr>
        <w:pStyle w:val="ListParagraph"/>
        <w:numPr>
          <w:ilvl w:val="1"/>
          <w:numId w:val="9"/>
        </w:numPr>
        <w:spacing w:after="0" w:line="240" w:lineRule="auto"/>
        <w:rPr>
          <w:rFonts w:asciiTheme="majorHAnsi" w:hAnsiTheme="majorHAnsi" w:cstheme="majorHAnsi"/>
          <w:lang w:val="en-US"/>
        </w:rPr>
      </w:pPr>
      <w:r w:rsidRPr="005E3C07">
        <w:rPr>
          <w:rFonts w:asciiTheme="majorHAnsi" w:hAnsiTheme="majorHAnsi" w:cstheme="majorHAnsi"/>
          <w:lang w:val="en-US"/>
        </w:rPr>
        <w:t xml:space="preserve">The authorization is given on the basis of a detailed </w:t>
      </w:r>
      <w:r w:rsidRPr="005E3C07">
        <w:rPr>
          <w:rFonts w:asciiTheme="majorHAnsi" w:hAnsiTheme="majorHAnsi" w:cstheme="majorHAnsi"/>
          <w:b/>
          <w:bCs/>
          <w:lang w:val="en-US"/>
        </w:rPr>
        <w:t xml:space="preserve">Environmental Management </w:t>
      </w:r>
      <w:proofErr w:type="spellStart"/>
      <w:r w:rsidRPr="005E3C07">
        <w:rPr>
          <w:rFonts w:asciiTheme="majorHAnsi" w:hAnsiTheme="majorHAnsi" w:cstheme="majorHAnsi"/>
          <w:b/>
          <w:bCs/>
          <w:lang w:val="en-US"/>
        </w:rPr>
        <w:t>Programme</w:t>
      </w:r>
      <w:proofErr w:type="spellEnd"/>
      <w:r w:rsidRPr="005E3C07">
        <w:rPr>
          <w:rFonts w:asciiTheme="majorHAnsi" w:hAnsiTheme="majorHAnsi" w:cstheme="majorHAnsi"/>
          <w:lang w:val="en-US"/>
        </w:rPr>
        <w:t xml:space="preserve"> (</w:t>
      </w:r>
      <w:proofErr w:type="spellStart"/>
      <w:r w:rsidRPr="005E3C07">
        <w:rPr>
          <w:rFonts w:asciiTheme="majorHAnsi" w:hAnsiTheme="majorHAnsi" w:cstheme="majorHAnsi"/>
          <w:lang w:val="en-US"/>
        </w:rPr>
        <w:t>EMPr</w:t>
      </w:r>
      <w:proofErr w:type="spellEnd"/>
      <w:r w:rsidRPr="005E3C07">
        <w:rPr>
          <w:rFonts w:asciiTheme="majorHAnsi" w:hAnsiTheme="majorHAnsi" w:cstheme="majorHAnsi"/>
          <w:lang w:val="en-US"/>
        </w:rPr>
        <w:t xml:space="preserve"> – a plan of how to manage the area in a</w:t>
      </w:r>
      <w:r w:rsidR="005E3C07">
        <w:rPr>
          <w:rFonts w:asciiTheme="majorHAnsi" w:hAnsiTheme="majorHAnsi" w:cstheme="majorHAnsi"/>
          <w:lang w:val="en-US"/>
        </w:rPr>
        <w:t>n</w:t>
      </w:r>
      <w:r w:rsidRPr="005E3C07">
        <w:rPr>
          <w:rFonts w:asciiTheme="majorHAnsi" w:hAnsiTheme="majorHAnsi" w:cstheme="majorHAnsi"/>
          <w:lang w:val="en-US"/>
        </w:rPr>
        <w:t xml:space="preserve"> environmentally responsible</w:t>
      </w:r>
      <w:r w:rsidR="005E3C07">
        <w:rPr>
          <w:rFonts w:asciiTheme="majorHAnsi" w:hAnsiTheme="majorHAnsi" w:cstheme="majorHAnsi"/>
          <w:lang w:val="en-US"/>
        </w:rPr>
        <w:t xml:space="preserve"> </w:t>
      </w:r>
      <w:r w:rsidRPr="005E3C07">
        <w:rPr>
          <w:rFonts w:asciiTheme="majorHAnsi" w:hAnsiTheme="majorHAnsi" w:cstheme="majorHAnsi"/>
          <w:lang w:val="en-US"/>
        </w:rPr>
        <w:t xml:space="preserve">way) which must be strictly adhered to, and individual </w:t>
      </w:r>
      <w:proofErr w:type="spellStart"/>
      <w:r w:rsidRPr="005E3C07">
        <w:rPr>
          <w:rFonts w:asciiTheme="majorHAnsi" w:hAnsiTheme="majorHAnsi" w:cstheme="majorHAnsi"/>
          <w:lang w:val="en-US"/>
        </w:rPr>
        <w:t>EMPr’s</w:t>
      </w:r>
      <w:proofErr w:type="spellEnd"/>
      <w:r w:rsidRPr="005E3C07">
        <w:rPr>
          <w:rFonts w:asciiTheme="majorHAnsi" w:hAnsiTheme="majorHAnsi" w:cstheme="majorHAnsi"/>
          <w:lang w:val="en-US"/>
        </w:rPr>
        <w:t xml:space="preserve"> </w:t>
      </w:r>
      <w:r w:rsidRPr="005E3C07">
        <w:rPr>
          <w:rFonts w:asciiTheme="majorHAnsi" w:hAnsiTheme="majorHAnsi" w:cstheme="majorHAnsi"/>
          <w:u w:val="single"/>
          <w:lang w:val="en-US"/>
        </w:rPr>
        <w:t>must be compiled for each individual farm</w:t>
      </w:r>
      <w:r w:rsidRPr="005E3C07">
        <w:rPr>
          <w:rFonts w:asciiTheme="majorHAnsi" w:hAnsiTheme="majorHAnsi" w:cstheme="majorHAnsi"/>
          <w:lang w:val="en-US"/>
        </w:rPr>
        <w:t xml:space="preserve"> that is </w:t>
      </w:r>
      <w:r w:rsidR="005E3C07">
        <w:rPr>
          <w:rFonts w:asciiTheme="majorHAnsi" w:hAnsiTheme="majorHAnsi" w:cstheme="majorHAnsi"/>
          <w:lang w:val="en-US"/>
        </w:rPr>
        <w:t xml:space="preserve">subsequently </w:t>
      </w:r>
      <w:r w:rsidRPr="005E3C07">
        <w:rPr>
          <w:rFonts w:asciiTheme="majorHAnsi" w:hAnsiTheme="majorHAnsi" w:cstheme="majorHAnsi"/>
          <w:lang w:val="en-US"/>
        </w:rPr>
        <w:t>given a lease within the ADZ.</w:t>
      </w:r>
    </w:p>
    <w:p w14:paraId="471AE225" w14:textId="77777777" w:rsidR="008502EF" w:rsidRPr="005E3C07" w:rsidRDefault="008502EF" w:rsidP="008502EF">
      <w:pPr>
        <w:pStyle w:val="ListParagraph"/>
        <w:numPr>
          <w:ilvl w:val="1"/>
          <w:numId w:val="9"/>
        </w:numPr>
        <w:spacing w:after="0" w:line="240" w:lineRule="auto"/>
        <w:rPr>
          <w:rFonts w:asciiTheme="majorHAnsi" w:hAnsiTheme="majorHAnsi" w:cstheme="majorHAnsi"/>
          <w:lang w:val="en-US"/>
        </w:rPr>
      </w:pPr>
      <w:r w:rsidRPr="005E3C07">
        <w:rPr>
          <w:rFonts w:asciiTheme="majorHAnsi" w:hAnsiTheme="majorHAnsi" w:cstheme="majorHAnsi"/>
          <w:lang w:val="en-US"/>
        </w:rPr>
        <w:t xml:space="preserve">The ADZ is managed via two management bodies: </w:t>
      </w:r>
    </w:p>
    <w:p w14:paraId="6D628BA4" w14:textId="77777777" w:rsidR="008502EF" w:rsidRPr="005E3C07" w:rsidRDefault="008502EF" w:rsidP="008502EF">
      <w:pPr>
        <w:pStyle w:val="ListParagraph"/>
        <w:numPr>
          <w:ilvl w:val="2"/>
          <w:numId w:val="9"/>
        </w:numPr>
        <w:spacing w:after="0" w:line="240" w:lineRule="auto"/>
        <w:rPr>
          <w:rFonts w:asciiTheme="majorHAnsi" w:hAnsiTheme="majorHAnsi" w:cstheme="majorHAnsi"/>
          <w:lang w:val="en-US"/>
        </w:rPr>
      </w:pPr>
      <w:r w:rsidRPr="005E3C07">
        <w:rPr>
          <w:rFonts w:asciiTheme="majorHAnsi" w:hAnsiTheme="majorHAnsi" w:cstheme="majorHAnsi"/>
          <w:b/>
          <w:bCs/>
          <w:lang w:val="en-US"/>
        </w:rPr>
        <w:t>ADZ Management Committee</w:t>
      </w:r>
      <w:r w:rsidRPr="005E3C07">
        <w:rPr>
          <w:rFonts w:asciiTheme="majorHAnsi" w:hAnsiTheme="majorHAnsi" w:cstheme="majorHAnsi"/>
          <w:lang w:val="en-US"/>
        </w:rPr>
        <w:t xml:space="preserve"> (AMC) that consists of DEFF, DEDEAT, NMBM, Transnet National Port Authority, SA Civil Aviation, Dept’s of Sport and Recreation (national, provincial and municipal). The purpose of the AMC is </w:t>
      </w:r>
      <w:proofErr w:type="gramStart"/>
      <w:r w:rsidRPr="005E3C07">
        <w:rPr>
          <w:rFonts w:asciiTheme="majorHAnsi" w:hAnsiTheme="majorHAnsi" w:cstheme="majorHAnsi"/>
          <w:lang w:val="en-US"/>
        </w:rPr>
        <w:t>oversee</w:t>
      </w:r>
      <w:proofErr w:type="gramEnd"/>
      <w:r w:rsidRPr="005E3C07">
        <w:rPr>
          <w:rFonts w:asciiTheme="majorHAnsi" w:hAnsiTheme="majorHAnsi" w:cstheme="majorHAnsi"/>
          <w:lang w:val="en-US"/>
        </w:rPr>
        <w:t xml:space="preserve">, facilitate, manage and monitor the operations within the ADZ </w:t>
      </w:r>
    </w:p>
    <w:p w14:paraId="78941720" w14:textId="77777777" w:rsidR="008502EF" w:rsidRPr="005E3C07" w:rsidRDefault="008502EF" w:rsidP="008502EF">
      <w:pPr>
        <w:pStyle w:val="ListParagraph"/>
        <w:numPr>
          <w:ilvl w:val="2"/>
          <w:numId w:val="9"/>
        </w:numPr>
        <w:spacing w:after="0" w:line="240" w:lineRule="auto"/>
        <w:rPr>
          <w:rFonts w:asciiTheme="majorHAnsi" w:hAnsiTheme="majorHAnsi" w:cstheme="majorHAnsi"/>
          <w:lang w:val="en-US"/>
        </w:rPr>
      </w:pPr>
      <w:r w:rsidRPr="005E3C07">
        <w:rPr>
          <w:rFonts w:asciiTheme="majorHAnsi" w:hAnsiTheme="majorHAnsi" w:cstheme="majorHAnsi"/>
          <w:b/>
          <w:bCs/>
          <w:lang w:val="en-US"/>
        </w:rPr>
        <w:t>Consultative Forum</w:t>
      </w:r>
      <w:r w:rsidRPr="005E3C07">
        <w:rPr>
          <w:rFonts w:asciiTheme="majorHAnsi" w:hAnsiTheme="majorHAnsi" w:cstheme="majorHAnsi"/>
          <w:lang w:val="en-US"/>
        </w:rPr>
        <w:t xml:space="preserve"> that consists of other relevant government departments and relevant local/public interest </w:t>
      </w:r>
      <w:proofErr w:type="spellStart"/>
      <w:r w:rsidRPr="005E3C07">
        <w:rPr>
          <w:rFonts w:asciiTheme="majorHAnsi" w:hAnsiTheme="majorHAnsi" w:cstheme="majorHAnsi"/>
          <w:lang w:val="en-US"/>
        </w:rPr>
        <w:t>organisations</w:t>
      </w:r>
      <w:proofErr w:type="spellEnd"/>
      <w:r w:rsidRPr="005E3C07">
        <w:rPr>
          <w:rFonts w:asciiTheme="majorHAnsi" w:hAnsiTheme="majorHAnsi" w:cstheme="majorHAnsi"/>
          <w:lang w:val="en-US"/>
        </w:rPr>
        <w:t xml:space="preserve"> on a voluntary basis, this body will review the environmental monitoring data, and act as an advisory/make recommendations to the AMC (</w:t>
      </w:r>
      <w:r w:rsidRPr="005E3C07">
        <w:rPr>
          <w:rFonts w:asciiTheme="majorHAnsi" w:hAnsiTheme="majorHAnsi" w:cstheme="majorHAnsi"/>
          <w:i/>
          <w:iCs/>
          <w:lang w:val="en-US"/>
        </w:rPr>
        <w:t>please note WESSA ABB has been identified as a potential member of this forum amongst others, we will only decide on our participation post finalization of the appeal</w:t>
      </w:r>
      <w:r w:rsidRPr="005E3C07">
        <w:rPr>
          <w:rFonts w:asciiTheme="majorHAnsi" w:hAnsiTheme="majorHAnsi" w:cstheme="majorHAnsi"/>
          <w:lang w:val="en-US"/>
        </w:rPr>
        <w:t>)</w:t>
      </w:r>
    </w:p>
    <w:p w14:paraId="64480CE6" w14:textId="77777777" w:rsidR="008502EF" w:rsidRPr="005E3C07" w:rsidRDefault="008502EF" w:rsidP="008502EF">
      <w:pPr>
        <w:pStyle w:val="ListParagraph"/>
        <w:numPr>
          <w:ilvl w:val="1"/>
          <w:numId w:val="9"/>
        </w:numPr>
        <w:spacing w:after="0" w:line="240" w:lineRule="auto"/>
        <w:rPr>
          <w:rFonts w:asciiTheme="majorHAnsi" w:hAnsiTheme="majorHAnsi" w:cstheme="majorHAnsi"/>
          <w:lang w:val="en-US"/>
        </w:rPr>
      </w:pPr>
      <w:r w:rsidRPr="005E3C07">
        <w:rPr>
          <w:rFonts w:asciiTheme="majorHAnsi" w:hAnsiTheme="majorHAnsi" w:cstheme="majorHAnsi"/>
          <w:lang w:val="en-US"/>
        </w:rPr>
        <w:t>The authorization sets in place specific conditions that the applicant and subsequent operators must adhere to. By example point #. 50 “</w:t>
      </w:r>
      <w:r w:rsidRPr="005E3C07">
        <w:rPr>
          <w:rFonts w:asciiTheme="majorHAnsi" w:hAnsiTheme="majorHAnsi" w:cstheme="majorHAnsi"/>
          <w:i/>
          <w:iCs/>
          <w:lang w:val="en-US"/>
        </w:rPr>
        <w:t>Benthic Mapping/survey of the area under the individual farms must be undertaken by prospective operators before the commencement of the operational phase in order to establish baseline conditions for monitoring purposes</w:t>
      </w:r>
      <w:r w:rsidRPr="005E3C07">
        <w:rPr>
          <w:rFonts w:asciiTheme="majorHAnsi" w:hAnsiTheme="majorHAnsi" w:cstheme="majorHAnsi"/>
          <w:lang w:val="en-US"/>
        </w:rPr>
        <w:t xml:space="preserve">.” </w:t>
      </w:r>
      <w:r w:rsidRPr="005E3C07">
        <w:rPr>
          <w:rFonts w:asciiTheme="majorHAnsi" w:hAnsiTheme="majorHAnsi" w:cstheme="majorHAnsi"/>
          <w:b/>
          <w:bCs/>
          <w:i/>
          <w:iCs/>
          <w:lang w:val="en-US"/>
        </w:rPr>
        <w:t>Please read through the EA document (attached) for more such important detail</w:t>
      </w:r>
    </w:p>
    <w:p w14:paraId="3B23D182" w14:textId="77777777" w:rsidR="008502EF" w:rsidRPr="005E3C07" w:rsidRDefault="008502EF" w:rsidP="008502EF">
      <w:pPr>
        <w:rPr>
          <w:rFonts w:asciiTheme="majorHAnsi" w:hAnsiTheme="majorHAnsi" w:cstheme="majorHAnsi"/>
        </w:rPr>
      </w:pPr>
    </w:p>
    <w:p w14:paraId="68294F07" w14:textId="68F25709" w:rsidR="008502EF" w:rsidRPr="005E3C07" w:rsidRDefault="008502EF" w:rsidP="008502EF">
      <w:pPr>
        <w:rPr>
          <w:rFonts w:asciiTheme="majorHAnsi" w:hAnsiTheme="majorHAnsi" w:cstheme="majorHAnsi"/>
        </w:rPr>
      </w:pPr>
      <w:r w:rsidRPr="005E3C07">
        <w:rPr>
          <w:rFonts w:asciiTheme="majorHAnsi" w:hAnsiTheme="majorHAnsi" w:cstheme="majorHAnsi"/>
          <w:i/>
          <w:iCs/>
        </w:rPr>
        <w:t>Please note</w:t>
      </w:r>
      <w:r w:rsidRPr="005E3C07">
        <w:rPr>
          <w:rFonts w:asciiTheme="majorHAnsi" w:hAnsiTheme="majorHAnsi" w:cstheme="majorHAnsi"/>
        </w:rPr>
        <w:t xml:space="preserve">: </w:t>
      </w:r>
      <w:r w:rsidRPr="005E3C07">
        <w:rPr>
          <w:rFonts w:asciiTheme="majorHAnsi" w:hAnsiTheme="majorHAnsi" w:cstheme="majorHAnsi"/>
          <w:b/>
          <w:bCs/>
        </w:rPr>
        <w:t xml:space="preserve">WESSA ABB intends to appeal the Algoa 7 </w:t>
      </w:r>
      <w:r w:rsidR="005E3C07">
        <w:rPr>
          <w:rFonts w:asciiTheme="majorHAnsi" w:hAnsiTheme="majorHAnsi" w:cstheme="majorHAnsi"/>
          <w:b/>
          <w:bCs/>
        </w:rPr>
        <w:t xml:space="preserve">(Ngqura </w:t>
      </w:r>
      <w:proofErr w:type="spellStart"/>
      <w:r w:rsidR="005E3C07">
        <w:rPr>
          <w:rFonts w:asciiTheme="majorHAnsi" w:hAnsiTheme="majorHAnsi" w:cstheme="majorHAnsi"/>
          <w:b/>
          <w:bCs/>
        </w:rPr>
        <w:t>Harbour</w:t>
      </w:r>
      <w:proofErr w:type="spellEnd"/>
      <w:r w:rsidR="005E3C07">
        <w:rPr>
          <w:rFonts w:asciiTheme="majorHAnsi" w:hAnsiTheme="majorHAnsi" w:cstheme="majorHAnsi"/>
          <w:b/>
          <w:bCs/>
        </w:rPr>
        <w:t xml:space="preserve">) </w:t>
      </w:r>
      <w:r w:rsidRPr="005E3C07">
        <w:rPr>
          <w:rFonts w:asciiTheme="majorHAnsi" w:hAnsiTheme="majorHAnsi" w:cstheme="majorHAnsi"/>
          <w:b/>
          <w:bCs/>
        </w:rPr>
        <w:t>finfish farm component of the authorization on several scientific and technical grounds</w:t>
      </w:r>
      <w:r w:rsidRPr="005E3C07">
        <w:rPr>
          <w:rFonts w:asciiTheme="majorHAnsi" w:hAnsiTheme="majorHAnsi" w:cstheme="majorHAnsi"/>
        </w:rPr>
        <w:t xml:space="preserve"> (we’ll communicate those under a separate cover). </w:t>
      </w:r>
      <w:r w:rsidRPr="005E3C07">
        <w:rPr>
          <w:rFonts w:asciiTheme="majorHAnsi" w:hAnsiTheme="majorHAnsi" w:cstheme="majorHAnsi"/>
          <w:b/>
          <w:bCs/>
        </w:rPr>
        <w:t xml:space="preserve">While concerned about the bivalve zones, we think it will be within the bounds of sustainable development principles if the </w:t>
      </w:r>
      <w:proofErr w:type="spellStart"/>
      <w:r w:rsidRPr="005E3C07">
        <w:rPr>
          <w:rFonts w:asciiTheme="majorHAnsi" w:hAnsiTheme="majorHAnsi" w:cstheme="majorHAnsi"/>
          <w:b/>
          <w:bCs/>
        </w:rPr>
        <w:t>EMPr</w:t>
      </w:r>
      <w:proofErr w:type="spellEnd"/>
      <w:r w:rsidRPr="005E3C07">
        <w:rPr>
          <w:rFonts w:asciiTheme="majorHAnsi" w:hAnsiTheme="majorHAnsi" w:cstheme="majorHAnsi"/>
          <w:b/>
          <w:bCs/>
        </w:rPr>
        <w:t xml:space="preserve"> is strictly adhered to.</w:t>
      </w:r>
      <w:r w:rsidRPr="005E3C07">
        <w:rPr>
          <w:rFonts w:asciiTheme="majorHAnsi" w:hAnsiTheme="majorHAnsi" w:cstheme="majorHAnsi"/>
        </w:rPr>
        <w:t xml:space="preserve"> </w:t>
      </w:r>
    </w:p>
    <w:p w14:paraId="13C9A17A" w14:textId="77777777" w:rsidR="008502EF" w:rsidRPr="005E3C07" w:rsidRDefault="008502EF" w:rsidP="008502EF">
      <w:pPr>
        <w:rPr>
          <w:rFonts w:asciiTheme="majorHAnsi" w:hAnsiTheme="majorHAnsi" w:cstheme="majorHAnsi"/>
        </w:rPr>
      </w:pPr>
    </w:p>
    <w:p w14:paraId="3944884F" w14:textId="77777777" w:rsidR="008502EF" w:rsidRPr="005E3C07" w:rsidRDefault="008502EF" w:rsidP="008502EF">
      <w:pPr>
        <w:rPr>
          <w:rFonts w:asciiTheme="majorHAnsi" w:hAnsiTheme="majorHAnsi" w:cstheme="majorHAnsi"/>
        </w:rPr>
      </w:pPr>
      <w:r w:rsidRPr="005E3C07">
        <w:rPr>
          <w:rFonts w:asciiTheme="majorHAnsi" w:hAnsiTheme="majorHAnsi" w:cstheme="majorHAnsi"/>
          <w:i/>
          <w:iCs/>
          <w:u w:val="single"/>
        </w:rPr>
        <w:t>We encourage every appellant to take the time to go through the detail of the environmental authorization and decide for themselves what grounds they consider good reason for the EA to be appealed</w:t>
      </w:r>
      <w:r w:rsidRPr="005E3C07">
        <w:rPr>
          <w:rFonts w:asciiTheme="majorHAnsi" w:hAnsiTheme="majorHAnsi" w:cstheme="majorHAnsi"/>
        </w:rPr>
        <w:t xml:space="preserve">. Please don’t be discouraged by all the documents and forms. It’s really, really important that our city’s citizens voice their views with the authorities. </w:t>
      </w:r>
    </w:p>
    <w:p w14:paraId="0EC47AA4" w14:textId="1454C743" w:rsidR="00286974" w:rsidRPr="005E3C07" w:rsidRDefault="00286974" w:rsidP="00C24EDD">
      <w:pPr>
        <w:rPr>
          <w:rFonts w:asciiTheme="majorHAnsi" w:hAnsiTheme="majorHAnsi" w:cstheme="majorHAnsi"/>
        </w:rPr>
      </w:pPr>
    </w:p>
    <w:sectPr w:rsidR="00286974" w:rsidRPr="005E3C07" w:rsidSect="00857BDC">
      <w:headerReference w:type="default" r:id="rId15"/>
      <w:headerReference w:type="first" r:id="rId16"/>
      <w:footerReference w:type="first" r:id="rId17"/>
      <w:type w:val="continuous"/>
      <w:pgSz w:w="11900" w:h="16840"/>
      <w:pgMar w:top="2977" w:right="851" w:bottom="851" w:left="851" w:header="709" w:footer="38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7812A" w14:textId="77777777" w:rsidR="002770CD" w:rsidRDefault="002770CD" w:rsidP="007534FF">
      <w:r>
        <w:separator/>
      </w:r>
    </w:p>
  </w:endnote>
  <w:endnote w:type="continuationSeparator" w:id="0">
    <w:p w14:paraId="2670A1E4" w14:textId="77777777" w:rsidR="002770CD" w:rsidRDefault="002770CD" w:rsidP="0075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6A55" w14:textId="2754BF12" w:rsidR="00CF064E" w:rsidRDefault="00534BA9" w:rsidP="00B37ED2">
    <w:pPr>
      <w:pStyle w:val="Footer"/>
      <w:ind w:left="-42"/>
      <w:rPr>
        <w:noProof/>
        <w:sz w:val="16"/>
        <w:szCs w:val="16"/>
        <w:lang w:val="en-ZA" w:eastAsia="en-ZA"/>
      </w:rPr>
    </w:pPr>
    <w:r>
      <w:rPr>
        <w:noProof/>
        <w:sz w:val="16"/>
        <w:szCs w:val="16"/>
        <w:lang w:val="en-ZA" w:eastAsia="en-ZA"/>
      </w:rPr>
      <w:drawing>
        <wp:anchor distT="0" distB="0" distL="114300" distR="114300" simplePos="0" relativeHeight="251670528" behindDoc="1" locked="0" layoutInCell="1" allowOverlap="1" wp14:anchorId="7CAFE313" wp14:editId="097342A5">
          <wp:simplePos x="0" y="0"/>
          <wp:positionH relativeFrom="column">
            <wp:posOffset>-540385</wp:posOffset>
          </wp:positionH>
          <wp:positionV relativeFrom="paragraph">
            <wp:posOffset>-3490595</wp:posOffset>
          </wp:positionV>
          <wp:extent cx="7561580" cy="479107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rotWithShape="1">
                  <a:blip r:embed="rId1">
                    <a:extLst>
                      <a:ext uri="{28A0092B-C50C-407E-A947-70E740481C1C}">
                        <a14:useLocalDpi xmlns:a14="http://schemas.microsoft.com/office/drawing/2010/main" val="0"/>
                      </a:ext>
                    </a:extLst>
                  </a:blip>
                  <a:srcRect b="5758"/>
                  <a:stretch/>
                </pic:blipFill>
                <pic:spPr bwMode="auto">
                  <a:xfrm>
                    <a:off x="0" y="0"/>
                    <a:ext cx="7561580" cy="4791075"/>
                  </a:xfrm>
                  <a:prstGeom prst="rect">
                    <a:avLst/>
                  </a:prstGeom>
                  <a:ln>
                    <a:noFill/>
                  </a:ln>
                  <a:extLst>
                    <a:ext uri="{53640926-AAD7-44D8-BBD7-CCE9431645EC}">
                      <a14:shadowObscured xmlns:a14="http://schemas.microsoft.com/office/drawing/2010/main"/>
                    </a:ext>
                  </a:extLst>
                </pic:spPr>
              </pic:pic>
            </a:graphicData>
          </a:graphic>
        </wp:anchor>
      </w:drawing>
    </w:r>
  </w:p>
  <w:p w14:paraId="486F6377" w14:textId="7932E675" w:rsidR="009E3E86" w:rsidRPr="00294127" w:rsidRDefault="00534BA9" w:rsidP="00A614ED">
    <w:pPr>
      <w:pStyle w:val="Footer"/>
      <w:ind w:left="-42"/>
      <w:rPr>
        <w:rFonts w:ascii="Calibri Light" w:hAnsi="Calibri Light" w:cs="Calibri Light"/>
        <w:sz w:val="16"/>
        <w:szCs w:val="16"/>
      </w:rPr>
    </w:pPr>
    <w:r>
      <w:rPr>
        <w:noProof/>
        <w:sz w:val="16"/>
        <w:szCs w:val="16"/>
        <w:lang w:val="en-ZA" w:eastAsia="en-ZA"/>
      </w:rPr>
      <mc:AlternateContent>
        <mc:Choice Requires="wps">
          <w:drawing>
            <wp:anchor distT="0" distB="0" distL="114300" distR="114300" simplePos="0" relativeHeight="251672576" behindDoc="0" locked="0" layoutInCell="1" allowOverlap="1" wp14:anchorId="09AC4764" wp14:editId="30C01D4D">
              <wp:simplePos x="0" y="0"/>
              <wp:positionH relativeFrom="page">
                <wp:align>left</wp:align>
              </wp:positionH>
              <wp:positionV relativeFrom="paragraph">
                <wp:posOffset>1090295</wp:posOffset>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solidFill>
                        <a:srgbClr val="009AA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DA51F" id="Rectangle 2" o:spid="_x0000_s1026" style="position:absolute;margin-left:0;margin-top:85.85pt;width:595.3pt;height:28.3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" fillcolor="#009aaf" stroked="f">
              <w10:wrap anchorx="page"/>
            </v:rect>
          </w:pict>
        </mc:Fallback>
      </mc:AlternateContent>
    </w:r>
    <w:r w:rsidR="003F3026">
      <w:rPr>
        <w:rFonts w:ascii="Calibri Light" w:hAnsi="Calibri Light" w:cs="Calibri Light"/>
        <w:noProof/>
        <w:sz w:val="16"/>
        <w:szCs w:val="16"/>
        <w:lang w:val="en-ZA" w:eastAsia="en-ZA"/>
      </w:rPr>
      <w:drawing>
        <wp:inline distT="0" distB="0" distL="0" distR="0" wp14:anchorId="4E9A5FA9" wp14:editId="075D51C7">
          <wp:extent cx="6895766" cy="110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rotWithShape="1">
                  <a:blip r:embed="rId2"/>
                  <a:srcRect l="-138"/>
                  <a:stretch/>
                </pic:blipFill>
                <pic:spPr bwMode="auto">
                  <a:xfrm>
                    <a:off x="0" y="0"/>
                    <a:ext cx="6896326" cy="1108800"/>
                  </a:xfrm>
                  <a:prstGeom prst="rect">
                    <a:avLst/>
                  </a:prstGeom>
                  <a:ln>
                    <a:noFill/>
                  </a:ln>
                  <a:extLst>
                    <a:ext uri="{53640926-AAD7-44D8-BBD7-CCE9431645EC}">
                      <a14:shadowObscured xmlns:a14="http://schemas.microsoft.com/office/drawing/2010/main"/>
                    </a:ext>
                  </a:extLst>
                </pic:spPr>
              </pic:pic>
            </a:graphicData>
          </a:graphic>
        </wp:inline>
      </w:drawing>
    </w:r>
  </w:p>
  <w:p w14:paraId="2DCBAD3F" w14:textId="59FE7C0F" w:rsidR="00014ED9" w:rsidRPr="00294127" w:rsidRDefault="00014ED9" w:rsidP="00014ED9">
    <w:pPr>
      <w:pStyle w:val="Footer"/>
      <w:rPr>
        <w:rFonts w:ascii="Calibri Light" w:hAnsi="Calibri Light" w:cs="Calibri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0EB9" w14:textId="77777777" w:rsidR="002770CD" w:rsidRDefault="002770CD" w:rsidP="007534FF">
      <w:r>
        <w:separator/>
      </w:r>
    </w:p>
  </w:footnote>
  <w:footnote w:type="continuationSeparator" w:id="0">
    <w:p w14:paraId="0736F384" w14:textId="77777777" w:rsidR="002770CD" w:rsidRDefault="002770CD" w:rsidP="0075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B58A" w14:textId="5B1A4ED6" w:rsidR="005A668B" w:rsidRDefault="00623100">
    <w:pPr>
      <w:pStyle w:val="Header"/>
    </w:pPr>
    <w:r>
      <w:rPr>
        <w:noProof/>
        <w:sz w:val="18"/>
        <w:szCs w:val="18"/>
        <w:lang w:val="en-ZA" w:eastAsia="en-ZA"/>
      </w:rPr>
      <w:drawing>
        <wp:anchor distT="0" distB="0" distL="114300" distR="114300" simplePos="0" relativeHeight="251667456" behindDoc="0" locked="0" layoutInCell="1" allowOverlap="1" wp14:anchorId="1B4F433B" wp14:editId="15AE65A5">
          <wp:simplePos x="0" y="0"/>
          <wp:positionH relativeFrom="margin">
            <wp:posOffset>5361305</wp:posOffset>
          </wp:positionH>
          <wp:positionV relativeFrom="paragraph">
            <wp:posOffset>-152400</wp:posOffset>
          </wp:positionV>
          <wp:extent cx="1272799" cy="1087200"/>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WESSA - jpg.jpg"/>
                  <pic:cNvPicPr/>
                </pic:nvPicPr>
                <pic:blipFill>
                  <a:blip r:embed="rId1"/>
                  <a:stretch>
                    <a:fillRect/>
                  </a:stretch>
                </pic:blipFill>
                <pic:spPr>
                  <a:xfrm>
                    <a:off x="0" y="0"/>
                    <a:ext cx="1272799" cy="108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6FCF" w14:textId="7154CBDF" w:rsidR="00C03B15" w:rsidRDefault="007C55A6" w:rsidP="007C55A6">
    <w:pPr>
      <w:pStyle w:val="Header"/>
      <w:jc w:val="right"/>
      <w:rPr>
        <w:sz w:val="18"/>
        <w:szCs w:val="18"/>
      </w:rPr>
    </w:pPr>
    <w:r>
      <w:rPr>
        <w:noProof/>
        <w:sz w:val="18"/>
        <w:szCs w:val="18"/>
        <w:lang w:val="en-ZA" w:eastAsia="en-ZA"/>
      </w:rPr>
      <w:drawing>
        <wp:anchor distT="0" distB="0" distL="114300" distR="114300" simplePos="0" relativeHeight="251665408" behindDoc="0" locked="0" layoutInCell="1" allowOverlap="1" wp14:anchorId="5233B181" wp14:editId="5E7E2B87">
          <wp:simplePos x="0" y="0"/>
          <wp:positionH relativeFrom="column">
            <wp:posOffset>5378450</wp:posOffset>
          </wp:positionH>
          <wp:positionV relativeFrom="paragraph">
            <wp:posOffset>-154940</wp:posOffset>
          </wp:positionV>
          <wp:extent cx="1272799" cy="108720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WESSA - jpg.jpg"/>
                  <pic:cNvPicPr/>
                </pic:nvPicPr>
                <pic:blipFill>
                  <a:blip r:embed="rId1"/>
                  <a:stretch>
                    <a:fillRect/>
                  </a:stretch>
                </pic:blipFill>
                <pic:spPr>
                  <a:xfrm>
                    <a:off x="0" y="0"/>
                    <a:ext cx="1272799" cy="1087200"/>
                  </a:xfrm>
                  <a:prstGeom prst="rect">
                    <a:avLst/>
                  </a:prstGeom>
                </pic:spPr>
              </pic:pic>
            </a:graphicData>
          </a:graphic>
          <wp14:sizeRelH relativeFrom="page">
            <wp14:pctWidth>0</wp14:pctWidth>
          </wp14:sizeRelH>
          <wp14:sizeRelV relativeFrom="page">
            <wp14:pctHeight>0</wp14:pctHeight>
          </wp14:sizeRelV>
        </wp:anchor>
      </w:drawing>
    </w:r>
  </w:p>
  <w:p w14:paraId="09A54D2E" w14:textId="77777777" w:rsidR="007C55A6" w:rsidRDefault="007C55A6" w:rsidP="00DC622A">
    <w:pPr>
      <w:pStyle w:val="Header"/>
      <w:rPr>
        <w:b/>
        <w:sz w:val="18"/>
        <w:szCs w:val="18"/>
      </w:rPr>
    </w:pPr>
  </w:p>
  <w:p w14:paraId="5AC46AB5" w14:textId="1624D315" w:rsidR="007C55A6" w:rsidRDefault="007C55A6" w:rsidP="00DC622A">
    <w:pPr>
      <w:pStyle w:val="Header"/>
      <w:rPr>
        <w:b/>
        <w:sz w:val="18"/>
        <w:szCs w:val="18"/>
      </w:rPr>
    </w:pPr>
  </w:p>
  <w:p w14:paraId="0D613840" w14:textId="77777777" w:rsidR="00AF211C" w:rsidRDefault="00AF211C" w:rsidP="00DC622A">
    <w:pPr>
      <w:pStyle w:val="Header"/>
      <w:rPr>
        <w:b/>
        <w:sz w:val="18"/>
        <w:szCs w:val="18"/>
      </w:rPr>
    </w:pPr>
  </w:p>
  <w:p w14:paraId="2520A73D" w14:textId="047034F1" w:rsidR="005A668B" w:rsidRPr="009E3E86" w:rsidRDefault="005A668B" w:rsidP="00DC622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0D7"/>
    <w:multiLevelType w:val="hybridMultilevel"/>
    <w:tmpl w:val="0D46BB8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335B9"/>
    <w:multiLevelType w:val="hybridMultilevel"/>
    <w:tmpl w:val="7152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37A4A"/>
    <w:multiLevelType w:val="hybridMultilevel"/>
    <w:tmpl w:val="68C8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83938"/>
    <w:multiLevelType w:val="hybridMultilevel"/>
    <w:tmpl w:val="759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B383F"/>
    <w:multiLevelType w:val="hybridMultilevel"/>
    <w:tmpl w:val="044C48E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017B2"/>
    <w:multiLevelType w:val="hybridMultilevel"/>
    <w:tmpl w:val="853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020FF"/>
    <w:multiLevelType w:val="hybridMultilevel"/>
    <w:tmpl w:val="D7E050BC"/>
    <w:lvl w:ilvl="0" w:tplc="E93C2D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FE6734"/>
    <w:multiLevelType w:val="hybridMultilevel"/>
    <w:tmpl w:val="F8961A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12D6CCD"/>
    <w:multiLevelType w:val="hybridMultilevel"/>
    <w:tmpl w:val="6740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325ED"/>
    <w:multiLevelType w:val="hybridMultilevel"/>
    <w:tmpl w:val="6B8C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4273A"/>
    <w:multiLevelType w:val="hybridMultilevel"/>
    <w:tmpl w:val="31AC0C36"/>
    <w:lvl w:ilvl="0" w:tplc="E780AFC6">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61E68AC"/>
    <w:multiLevelType w:val="hybridMultilevel"/>
    <w:tmpl w:val="F25C6CD2"/>
    <w:lvl w:ilvl="0" w:tplc="849CE9C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7"/>
  </w:num>
  <w:num w:numId="5">
    <w:abstractNumId w:val="1"/>
  </w:num>
  <w:num w:numId="6">
    <w:abstractNumId w:val="3"/>
  </w:num>
  <w:num w:numId="7">
    <w:abstractNumId w:val="8"/>
  </w:num>
  <w:num w:numId="8">
    <w:abstractNumId w:val="5"/>
  </w:num>
  <w:num w:numId="9">
    <w:abstractNumId w:val="11"/>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FF"/>
    <w:rsid w:val="00014ED9"/>
    <w:rsid w:val="00051C86"/>
    <w:rsid w:val="0005326B"/>
    <w:rsid w:val="000D5211"/>
    <w:rsid w:val="000E7A3F"/>
    <w:rsid w:val="001205B5"/>
    <w:rsid w:val="001707D2"/>
    <w:rsid w:val="001C4941"/>
    <w:rsid w:val="00265E16"/>
    <w:rsid w:val="002770CD"/>
    <w:rsid w:val="00280BE2"/>
    <w:rsid w:val="00286974"/>
    <w:rsid w:val="00294127"/>
    <w:rsid w:val="002D420C"/>
    <w:rsid w:val="0030683F"/>
    <w:rsid w:val="003352A5"/>
    <w:rsid w:val="00384E20"/>
    <w:rsid w:val="003A47ED"/>
    <w:rsid w:val="003F3026"/>
    <w:rsid w:val="003F65C4"/>
    <w:rsid w:val="00432039"/>
    <w:rsid w:val="00483865"/>
    <w:rsid w:val="004A22B4"/>
    <w:rsid w:val="004C3FA2"/>
    <w:rsid w:val="00512706"/>
    <w:rsid w:val="00534BA9"/>
    <w:rsid w:val="00562953"/>
    <w:rsid w:val="005A668B"/>
    <w:rsid w:val="005C7422"/>
    <w:rsid w:val="005E3C07"/>
    <w:rsid w:val="00616784"/>
    <w:rsid w:val="00622769"/>
    <w:rsid w:val="00623100"/>
    <w:rsid w:val="00664EBC"/>
    <w:rsid w:val="006A4347"/>
    <w:rsid w:val="006B045A"/>
    <w:rsid w:val="006E458A"/>
    <w:rsid w:val="00701655"/>
    <w:rsid w:val="007155E3"/>
    <w:rsid w:val="00724C98"/>
    <w:rsid w:val="007534FF"/>
    <w:rsid w:val="00763292"/>
    <w:rsid w:val="007658EE"/>
    <w:rsid w:val="007C55A6"/>
    <w:rsid w:val="007D4F9C"/>
    <w:rsid w:val="007E4E81"/>
    <w:rsid w:val="008502EF"/>
    <w:rsid w:val="00857BDC"/>
    <w:rsid w:val="008A4B56"/>
    <w:rsid w:val="009202DB"/>
    <w:rsid w:val="009340EA"/>
    <w:rsid w:val="00964540"/>
    <w:rsid w:val="00965FD8"/>
    <w:rsid w:val="009E3E86"/>
    <w:rsid w:val="009F07EA"/>
    <w:rsid w:val="00A1140A"/>
    <w:rsid w:val="00A614ED"/>
    <w:rsid w:val="00AD1B9E"/>
    <w:rsid w:val="00AE1BCC"/>
    <w:rsid w:val="00AF211C"/>
    <w:rsid w:val="00B37ED2"/>
    <w:rsid w:val="00B56DBC"/>
    <w:rsid w:val="00BC1686"/>
    <w:rsid w:val="00C03B15"/>
    <w:rsid w:val="00C24EDD"/>
    <w:rsid w:val="00C74B0D"/>
    <w:rsid w:val="00C86F04"/>
    <w:rsid w:val="00CF064E"/>
    <w:rsid w:val="00D630CD"/>
    <w:rsid w:val="00D94BDA"/>
    <w:rsid w:val="00DB6C04"/>
    <w:rsid w:val="00DC622A"/>
    <w:rsid w:val="00DF2973"/>
    <w:rsid w:val="00E226CA"/>
    <w:rsid w:val="00E7264E"/>
    <w:rsid w:val="00E9021D"/>
    <w:rsid w:val="00ED36C7"/>
    <w:rsid w:val="00ED48AD"/>
    <w:rsid w:val="00F17DC0"/>
    <w:rsid w:val="00F242B6"/>
    <w:rsid w:val="00F73CAB"/>
    <w:rsid w:val="00F921E0"/>
    <w:rsid w:val="00F932E0"/>
    <w:rsid w:val="00FA62C4"/>
    <w:rsid w:val="00FE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D1C7D91"/>
  <w14:defaultImageDpi w14:val="300"/>
  <w15:docId w15:val="{2B628639-2BC0-4207-9130-827F35B8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4FF"/>
    <w:pPr>
      <w:tabs>
        <w:tab w:val="center" w:pos="4320"/>
        <w:tab w:val="right" w:pos="8640"/>
      </w:tabs>
    </w:pPr>
  </w:style>
  <w:style w:type="character" w:customStyle="1" w:styleId="HeaderChar">
    <w:name w:val="Header Char"/>
    <w:basedOn w:val="DefaultParagraphFont"/>
    <w:link w:val="Header"/>
    <w:uiPriority w:val="99"/>
    <w:rsid w:val="007534FF"/>
  </w:style>
  <w:style w:type="paragraph" w:styleId="Footer">
    <w:name w:val="footer"/>
    <w:basedOn w:val="Normal"/>
    <w:link w:val="FooterChar"/>
    <w:uiPriority w:val="99"/>
    <w:unhideWhenUsed/>
    <w:rsid w:val="007534FF"/>
    <w:pPr>
      <w:tabs>
        <w:tab w:val="center" w:pos="4320"/>
        <w:tab w:val="right" w:pos="8640"/>
      </w:tabs>
    </w:pPr>
  </w:style>
  <w:style w:type="character" w:customStyle="1" w:styleId="FooterChar">
    <w:name w:val="Footer Char"/>
    <w:basedOn w:val="DefaultParagraphFont"/>
    <w:link w:val="Footer"/>
    <w:uiPriority w:val="99"/>
    <w:rsid w:val="007534FF"/>
  </w:style>
  <w:style w:type="paragraph" w:styleId="BalloonText">
    <w:name w:val="Balloon Text"/>
    <w:basedOn w:val="Normal"/>
    <w:link w:val="BalloonTextChar"/>
    <w:uiPriority w:val="99"/>
    <w:semiHidden/>
    <w:unhideWhenUsed/>
    <w:rsid w:val="00753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4FF"/>
    <w:rPr>
      <w:rFonts w:ascii="Lucida Grande" w:hAnsi="Lucida Grande" w:cs="Lucida Grande"/>
      <w:sz w:val="18"/>
      <w:szCs w:val="18"/>
    </w:rPr>
  </w:style>
  <w:style w:type="paragraph" w:styleId="ListParagraph">
    <w:name w:val="List Paragraph"/>
    <w:basedOn w:val="Normal"/>
    <w:uiPriority w:val="34"/>
    <w:qFormat/>
    <w:rsid w:val="00664EBC"/>
    <w:pPr>
      <w:spacing w:after="200" w:line="276" w:lineRule="auto"/>
      <w:ind w:left="720"/>
      <w:contextualSpacing/>
    </w:pPr>
    <w:rPr>
      <w:rFonts w:asciiTheme="minorHAnsi" w:eastAsiaTheme="minorHAnsi" w:hAnsiTheme="minorHAnsi"/>
      <w:lang w:val="en-GB"/>
    </w:rPr>
  </w:style>
  <w:style w:type="character" w:styleId="Hyperlink">
    <w:name w:val="Hyperlink"/>
    <w:basedOn w:val="DefaultParagraphFont"/>
    <w:uiPriority w:val="99"/>
    <w:unhideWhenUsed/>
    <w:rsid w:val="007C55A6"/>
    <w:rPr>
      <w:color w:val="0000FF" w:themeColor="hyperlink"/>
      <w:u w:val="single"/>
    </w:rPr>
  </w:style>
  <w:style w:type="table" w:styleId="TableGrid">
    <w:name w:val="Table Grid"/>
    <w:basedOn w:val="TableNormal"/>
    <w:uiPriority w:val="59"/>
    <w:rsid w:val="00C24EDD"/>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4EDD"/>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5E3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625">
      <w:bodyDiv w:val="1"/>
      <w:marLeft w:val="0"/>
      <w:marRight w:val="0"/>
      <w:marTop w:val="0"/>
      <w:marBottom w:val="0"/>
      <w:divBdr>
        <w:top w:val="none" w:sz="0" w:space="0" w:color="auto"/>
        <w:left w:val="none" w:sz="0" w:space="0" w:color="auto"/>
        <w:bottom w:val="none" w:sz="0" w:space="0" w:color="auto"/>
        <w:right w:val="none" w:sz="0" w:space="0" w:color="auto"/>
      </w:divBdr>
    </w:div>
    <w:div w:id="407532450">
      <w:bodyDiv w:val="1"/>
      <w:marLeft w:val="0"/>
      <w:marRight w:val="0"/>
      <w:marTop w:val="0"/>
      <w:marBottom w:val="0"/>
      <w:divBdr>
        <w:top w:val="none" w:sz="0" w:space="0" w:color="auto"/>
        <w:left w:val="none" w:sz="0" w:space="0" w:color="auto"/>
        <w:bottom w:val="none" w:sz="0" w:space="0" w:color="auto"/>
        <w:right w:val="none" w:sz="0" w:space="0" w:color="auto"/>
      </w:divBdr>
    </w:div>
    <w:div w:id="930430560">
      <w:bodyDiv w:val="1"/>
      <w:marLeft w:val="0"/>
      <w:marRight w:val="0"/>
      <w:marTop w:val="0"/>
      <w:marBottom w:val="0"/>
      <w:divBdr>
        <w:top w:val="none" w:sz="0" w:space="0" w:color="auto"/>
        <w:left w:val="none" w:sz="0" w:space="0" w:color="auto"/>
        <w:bottom w:val="none" w:sz="0" w:space="0" w:color="auto"/>
        <w:right w:val="none" w:sz="0" w:space="0" w:color="auto"/>
      </w:divBdr>
    </w:div>
    <w:div w:id="1274551161">
      <w:bodyDiv w:val="1"/>
      <w:marLeft w:val="0"/>
      <w:marRight w:val="0"/>
      <w:marTop w:val="0"/>
      <w:marBottom w:val="0"/>
      <w:divBdr>
        <w:top w:val="none" w:sz="0" w:space="0" w:color="auto"/>
        <w:left w:val="none" w:sz="0" w:space="0" w:color="auto"/>
        <w:bottom w:val="none" w:sz="0" w:space="0" w:color="auto"/>
        <w:right w:val="none" w:sz="0" w:space="0" w:color="auto"/>
      </w:divBdr>
    </w:div>
    <w:div w:id="1481997344">
      <w:bodyDiv w:val="1"/>
      <w:marLeft w:val="0"/>
      <w:marRight w:val="0"/>
      <w:marTop w:val="0"/>
      <w:marBottom w:val="0"/>
      <w:divBdr>
        <w:top w:val="none" w:sz="0" w:space="0" w:color="auto"/>
        <w:left w:val="none" w:sz="0" w:space="0" w:color="auto"/>
        <w:bottom w:val="none" w:sz="0" w:space="0" w:color="auto"/>
        <w:right w:val="none" w:sz="0" w:space="0" w:color="auto"/>
      </w:divBdr>
    </w:div>
    <w:div w:id="195994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environment.gov.za" TargetMode="External"/><Relationship Id="rId13" Type="http://schemas.openxmlformats.org/officeDocument/2006/relationships/hyperlink" Target="mailto:JMkosana@mandelametro.gov.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yk22@me.com" TargetMode="External"/><Relationship Id="rId12" Type="http://schemas.openxmlformats.org/officeDocument/2006/relationships/hyperlink" Target="mailto:dayalan.govender@dedea.gov.z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alaza@environment.gov.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jika@environment.gov.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nchorenvironmental.co.za" TargetMode="External"/><Relationship Id="rId14" Type="http://schemas.openxmlformats.org/officeDocument/2006/relationships/hyperlink" Target="mailto:garyk22@me.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WESSA</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Gary Koekemoer</cp:lastModifiedBy>
  <cp:revision>4</cp:revision>
  <cp:lastPrinted>2017-04-19T15:49:00Z</cp:lastPrinted>
  <dcterms:created xsi:type="dcterms:W3CDTF">2020-03-12T07:53:00Z</dcterms:created>
  <dcterms:modified xsi:type="dcterms:W3CDTF">2020-03-12T08:33:00Z</dcterms:modified>
</cp:coreProperties>
</file>